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47857"/>
          <w:sz w:val="22"/>
        </w:rPr>
        <w:t>INFORME TÉCNICO DE INFRAESTRUCTURA, CÓMPUTO Y DESPLIEGUE</w:t>
      </w:r>
    </w:p>
    <w:p>
      <w:r>
        <w:rPr>
          <w:rFonts w:ascii="Arial" w:hAnsi="Arial"/>
          <w:b/>
          <w:color w:val="0F172A"/>
          <w:sz w:val="40"/>
        </w:rPr>
        <w:t>DIMENSIONAMIENTO DE SERVIDOR, GPU Y GUÍA DE HABILITACIÓN SOBERANA</w:t>
      </w:r>
    </w:p>
    <w:p>
      <w:r>
        <w:rPr>
          <w:rFonts w:ascii="Arial" w:hAnsi="Arial"/>
          <w:i/>
          <w:color w:val="475569"/>
          <w:sz w:val="22"/>
        </w:rPr>
        <w:t>Análisis Comparativo: NoraItu IA vs. Susy Bot Municipal | Niveles de Recursos (Promedio y Bajo) | Guía de Despliegue sin Exposición de Datos Sensibles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9"/>
              </w:rPr>
              <w:t>Proyecto / Ecosistema:</w:t>
            </w:r>
          </w:p>
        </w:tc>
        <w:tc>
          <w:tcPr>
            <w:tcW w:type="dxa" w:w="67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NoraItu IA &amp; Susy Bot Municipal (MyJNexoraVisual)</w:t>
            </w:r>
          </w:p>
        </w:tc>
      </w:tr>
      <w:tr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9"/>
              </w:rPr>
              <w:t>Jurisdicción y Sede:</w:t>
            </w:r>
          </w:p>
        </w:tc>
        <w:tc>
          <w:tcPr>
            <w:tcW w:type="dxa" w:w="67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Ituzaingó, Corrientes - República Argentina</w:t>
            </w:r>
          </w:p>
        </w:tc>
      </w:tr>
      <w:tr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9"/>
              </w:rPr>
              <w:t>Propósito del Informe:</w:t>
            </w:r>
          </w:p>
        </w:tc>
        <w:tc>
          <w:tcPr>
            <w:tcW w:type="dxa" w:w="67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Evaluación y acondicionamiento de servidor físico dedicado para cómputo de IA local</w:t>
            </w:r>
          </w:p>
        </w:tc>
      </w:tr>
      <w:tr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9"/>
              </w:rPr>
              <w:t>Clasificación de Seguridad:</w:t>
            </w:r>
          </w:p>
        </w:tc>
        <w:tc>
          <w:tcPr>
            <w:tcW w:type="dxa" w:w="67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INFRAESTRUCTURA Y SISTEMAS (Preservación estricta de propiedad intelectual y claves)</w:t>
            </w:r>
          </w:p>
        </w:tc>
      </w:tr>
      <w:tr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9"/>
              </w:rPr>
              <w:t>Marco Normativo y Blindaje:</w:t>
            </w:r>
          </w:p>
        </w:tc>
        <w:tc>
          <w:tcPr>
            <w:tcW w:type="dxa" w:w="67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Ley 25.326 de Protección de Datos Personales y Ley 11.723 de Propiedad Intelectual</w:t>
            </w:r>
          </w:p>
        </w:tc>
      </w:tr>
    </w:tbl>
    <w:p>
      <w:pPr>
        <w:spacing w:after="280"/>
      </w:pPr>
    </w:p>
    <w:p>
      <w:pPr>
        <w:pStyle w:val="Heading1"/>
        <w:spacing w:before="240" w:after="120"/>
      </w:pPr>
      <w:r>
        <w:t>1. Resumen Ejecutivo y Diagnóstico Técnico</w:t>
      </w:r>
    </w:p>
    <w:p>
      <w:r>
        <w:t>El presente documento técnico responde a la oportunidad estratégica de acondicionar y desplegar un servidor físico dedicado ofrecido por un colaborador para ejecutar localmente la tecnología de inteligencia artificial desarrollada en los proyectos NoraItu IA y Susy Bot. El objetivo central es extraer el 100% del potencial de este ecosistema con soberanía tecnológica absoluta, costo de inferencia $0 y sin dependencia obligatoria de APIs comerciales extranjeras, garantizando que los datos confidenciales, documentos vecinales, expedientes y registros escolares no abandonen la infraestructura propia.</w:t>
      </w:r>
    </w:p>
    <w:p>
      <w:pPr>
        <w:pStyle w:val="Heading1"/>
        <w:spacing w:before="280" w:after="120"/>
      </w:pPr>
      <w:r>
        <w:t>2. Comparativa Arquitectónica: NoraItu IA vs. Susy Bot</w:t>
      </w:r>
    </w:p>
    <w:p>
      <w:r>
        <w:t>Ambos sistemas constituyen ramas evolutivas del mismo núcleo tecnológico soberano desarrollado por MyJNexoraVisual, pero han sido calibrados para satisfacer objetivos de dominio específicos: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744"/>
        <w:gridCol w:w="3744"/>
      </w:tblGrid>
      <w:tr>
        <w:tc>
          <w:tcPr>
            <w:tcW w:type="dxa" w:w="331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Componente / Dimensión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NoraItu IA (Educativo, Multimodal, Cívico)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Susy Bot (Municipal, Trámites, Inclusivo)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Misión Primaria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Docente universal en casa, cátedra universitaria, inclusión TEA/DUA y periodismo cívico.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Directora virtual de atención al vecino, gestión de trámites municipales y ordenanzas.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Visión Computacional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Cámara Titán Live (análisis HUD didáctico, lectura de pizarrones, exámenes y libros).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Lazarillo Espacial Urbano (referencias reloj 12 en punto, lectura de DNI, tasas y desniveles).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Módulo de Reclamos y Gestión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Guía comercial, promociones, clasificados, bolsa de trabajo y portal cívico.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Sistema de tickets #ITU-XXX (bacheo, luminarias, bromatología, defensa civil con georreferencia).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Audio y Voz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Transcripción Whisper (&lt;200ms) y sintetizador fonético neutro para dictados pedagógicos.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Sintetizador fonético cálido litoraleño, wake-word local y soporte para gateway de radio/malla.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Base de Datos y RAG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PostgreSQL con pgvector (HNSW) sobre contenidos curriculares, guías y noticias.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PostgreSQL con pgvector + GraphRAG municipal (ordenanzas, áreas comunales y funcionarios).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Accesibilidad Especializada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Modo TEA con pictogramas ARASAAC y adaptaciones curriculares DUA automáticas.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Modo No Vidente háptico y espacial, orientación táctica en vía pública.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Estrategia de Despliegue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Híbrido (PWA offline con WebGPU + Servidor de Alta Capacidad + Red Mesh).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 On-Premise dentro de la red municipal protegida / servidor local aislado.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3. Análisis de Carga de Cómputo: Por qué la GPU y la VRAM son Críticas</w:t>
      </w:r>
    </w:p>
    <w:p>
      <w:r>
        <w:t>En la inferencia de Inteligencia Artificial moderna basada en modelos de pesos abiertos (Open Weights como LLaMA 3.3, Qwen 2.5 y Whisper), el factor limitante absoluto es la MEMORIA DE VIDEO DEDICADA (VRAM) de la tarjeta gráfica (GPU) y su ancho de banda en gigabytes por segundo (GB/s).</w:t>
      </w:r>
    </w:p>
    <w:p>
      <w:r>
        <w:t>• Diferencia de Ancho de Banda (RAM vs VRAM): La memoria RAM principal del servidor (DDR4/DDR5) alcanza tasas de 30 a 80 GB/s. En comparación, la VRAM de una tarjeta gráfica NVIDIA moderna opera entre 500 y 1.000 GB/s. Si un modelo se ejecuta en CPU/RAM, la velocidad de respuesta cae a 2-4 palabras por segundo (lenta y entrecortada). En GPU, la respuesta alcanza 35-70 palabras por segundo, permitiendo una experiencia conversacional y visual instantánea.</w:t>
        <w:br/>
        <w:t>• Coexistencia de Modelos Multimodales: El sistema debe mantener cargados en memoria varios modelos a la vez: (1) El LLM cognitivo de texto, (2) El modelo de visión para la Cámara Titán / Lazarillo, (3) El modelo Whisper para transcripción de audio en tiempo real y (4) El modelo de embeddings para búsqueda vectorial. Para evitar que el servidor tenga que descargar y cargar modelos constantemente (swap que demora 10-30 segundos), la VRAM debe ser suficiente.</w:t>
        <w:br/>
        <w:t>• Cuantización Inteligente (GGUF / Q4_K_M): Los modelos originales de 70 mil millones de parámetros pesan 140 GB en FP16. Mediante cuantización moderna a 4 bits (Q4), el peso se reduce a ~42 GB de VRAM reteniendo más del 98% de su precisión y razonamiento.</w:t>
      </w:r>
    </w:p>
    <w:p>
      <w:pPr>
        <w:pStyle w:val="Heading1"/>
        <w:spacing w:before="280" w:after="120"/>
      </w:pPr>
      <w:r>
        <w:t>4. Especificaciones Técnicas del Servidor: Nivel Promedio y Nivel Bajo</w:t>
      </w:r>
    </w:p>
    <w:p>
      <w:r>
        <w:t>Se definen dos escalones de hardware claramente diferenciados para acondicionar el equipo disponible según el nivel de inversión y la demanda de usuarios esperada:</w:t>
      </w:r>
    </w:p>
    <w:p>
      <w:pPr>
        <w:pStyle w:val="Heading2"/>
      </w:pPr>
      <w:r>
        <w:t>4.1. Nivel Bajo / Mínimo Viable (Piloto, Desarrollo y Pruebas)</w:t>
      </w:r>
    </w:p>
    <w:p>
      <w:r>
        <w:t>Orientado a validar el sistema, realizar pruebas funcionales, demostraciones y atender hasta 8 usuarios concurrentes en una escuela piloto o dependencia municipal con presupuesto acotado.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Tarjeta Gráfica (GPU)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NVIDIA GeForce RTX 3060 (12 GB VRAM) o RTX 4060 Ti (16 GB VRAM).</w:t>
              <w:br/>
              <w:t>Para servidor en rack: NVIDIA Tesla T4 (16 GB VRAM pasiva).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VRAM Mínima Dedicada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12 GB a 16 GB GDDR6 (Imprescindible para albergar modelos de 8B + Visión).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Procesador (CPU)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Intel Core i7 (10ª gen o superior) / AMD Ryzen 7 (8 núcleos / 16 hilos).</w:t>
              <w:br/>
              <w:t>Servidor: Intel Xeon Silver / AMD EPYC de 8 a 12 núcleos.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Memoria RAM del Servidor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32 GB DDR4 / DDR5 (3200 MHz o superior). Permite offload seguro de memoria.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Almacenamiento del Sistema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500 GB a 1 TB SSD NVMe M.2 PCIe 3.0/4.0 (Lectura &gt; 3.000 MB/s).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Fuente de Poder (PSU)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650W a 750W con certificación 80 Plus Gold o Platinum.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Modelos Soportados y Rendimiento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LLM Texto: LLaMA 3.1 8B Instruct (Q4_K_M ~5.5 GB VRAM)</w:t>
              <w:br/>
              <w:t>• Visión: LLaMA 3.2 11B Vision (Q4 ~8 GB) o Moondream2</w:t>
              <w:br/>
              <w:t>• Audio: Whisper Medium / Small (~1.5 GB VRAM)</w:t>
              <w:br/>
              <w:t>• Embeddings: nomic-embed-text (~0.5 GB)</w:t>
              <w:br/>
              <w:t>• Rendimiento: 35-50 tokens/segundo (Fluido para uso individual o grupos chicos).</w:t>
            </w:r>
          </w:p>
        </w:tc>
      </w:tr>
    </w:tbl>
    <w:p>
      <w:pPr>
        <w:spacing w:after="200"/>
      </w:pPr>
    </w:p>
    <w:p>
      <w:pPr>
        <w:pStyle w:val="Heading2"/>
      </w:pPr>
      <w:r>
        <w:t>4.2. Nivel Promedio / Recomendado (Máximo Potencial y Alta Concurrencia)</w:t>
      </w:r>
    </w:p>
    <w:p>
      <w:r>
        <w:t>Configuración de alto poder para liberar todo el potencial cognitivo de Nora Itu y Susy Bot. Permite correr el cerebro LLaMA 3.3 de 70 mil millones de parámetros con razonamiento profundo, cámara en vivo a alta tasa de cuadros, transcripción en tiempo real y soporte para más de 30 consultas simultáneas sin demoras.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Tarjeta Gráfica (GPU)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Opción A (Recomendada Consumo): 1x NVIDIA GeForce RTX 3090 (24 GB) o RTX 4090 (24 GB).</w:t>
              <w:br/>
              <w:t>Opción B (Óptima 70B Dual): 2x NVIDIA RTX 3090 (Total 48 GB VRAM combinada).</w:t>
              <w:br/>
              <w:t>Opción C (Datacenter / Workstation): NVIDIA RTX A5000 (24 GB), RTX A6000 (48 GB) o NVIDIA L4 (24 GB).</w:t>
            </w:r>
          </w:p>
        </w:tc>
      </w:tr>
      <w:tr>
        <w:tc>
          <w:tcPr>
            <w:tcW w:type="dxa" w:w="331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VRAM Recomendada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24 GB (Single GPU para modelos de 32B y 70B híbrido) o 48 GB (Dual GPU para 70B nativo 100% en VRAM).</w:t>
            </w:r>
          </w:p>
        </w:tc>
      </w:tr>
      <w:tr>
        <w:tc>
          <w:tcPr>
            <w:tcW w:type="dxa" w:w="331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Procesador (CPU)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AMD Ryzen 9 7900X / 7950X o Intel Core i9 (13ª/14ª gen, 16 a 24 núcleos).</w:t>
              <w:br/>
              <w:t>Servidor Enterprise: AMD EPYC 7003/9004 o Intel Xeon Gold (16 a 32 núcleos físicos).</w:t>
            </w:r>
          </w:p>
        </w:tc>
      </w:tr>
      <w:tr>
        <w:tc>
          <w:tcPr>
            <w:tcW w:type="dxa" w:w="331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Memoria RAM del Servidor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64 GB a 128 GB DDR5 ECC (4800+ MT/s). Absorbe picos de concurrencia sin riesgo de colapso.</w:t>
            </w:r>
          </w:p>
        </w:tc>
      </w:tr>
      <w:tr>
        <w:tc>
          <w:tcPr>
            <w:tcW w:type="dxa" w:w="331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Almacenamiento del Sistema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 TB SSD NVMe PCIe 4.0 / 5.0 (Lectura &gt; 6.500 MB/s). Carga modelos de 40 GB en 6 segundos.</w:t>
            </w:r>
          </w:p>
        </w:tc>
      </w:tr>
      <w:tr>
        <w:tc>
          <w:tcPr>
            <w:tcW w:type="dxa" w:w="331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Fuente de Poder y Protección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1.000W a 1.200W 80 Plus Platinum + Sistema UPS (SAI) Online 1500VA/2000VA con onda senoidal pura.</w:t>
            </w:r>
          </w:p>
        </w:tc>
      </w:tr>
      <w:tr>
        <w:tc>
          <w:tcPr>
            <w:tcW w:type="dxa" w:w="331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Modelos Soportados y Rendimiento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LLM Cognitivo: LLaMA 3.3 70B Instruct (Q4 ~42 GB) o Qwen 2.5 32B Instruct a máxima precisión</w:t>
              <w:br/>
              <w:t>• Visión: Qwen 2.5-VL 7B / LLaMA 3.2 11B Vision a resolución completa</w:t>
              <w:br/>
              <w:t>• Audio: Whisper Large v3 Turbo (&lt;150ms de latencia de transcripción)</w:t>
              <w:br/>
              <w:t>• Embeddings: bge-m3 / nomic-embed-text en GPU con procesamiento por lotes</w:t>
              <w:br/>
              <w:t>• Rendimiento: 45-70 tokens/segundo estables con más de 25 llamadas y cámaras concurrentes.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5. Guía de Despliegue en el Servidor (Blindaje y Cero Exposición)</w:t>
      </w:r>
    </w:p>
    <w:p>
      <w:r>
        <w:t>A continuación se presenta el procedimiento técnico estandarizado para habilitar el servidor sin exponer código fuente sensible ni claves maestras de producción ante terceros o administradores externos:</w:t>
      </w:r>
    </w:p>
    <w:p>
      <w:pPr>
        <w:pStyle w:val="Heading2"/>
        <w:spacing w:before="160" w:after="40"/>
      </w:pPr>
      <w:r>
        <w:t>Paso 1: Instalación de Drivers NVIDIA y CUDA</w:t>
      </w:r>
    </w:p>
    <w:p>
      <w:pPr>
        <w:spacing w:after="120"/>
      </w:pPr>
      <w:r>
        <w:t>En el servidor (con Ubuntu Server 24.04 LTS instalado):</w:t>
        <w:br/>
        <w:t>sudo apt update &amp;&amp; sudo apt install -y build-essential dkms</w:t>
        <w:br/>
        <w:t>sudo apt install -y nvidia-driver-550-server nvidia-utils-550-server</w:t>
        <w:br/>
        <w:t>Reiniciar y verificar reconocimiento de la GPU ejecutando: nvidia-smi</w:t>
      </w:r>
    </w:p>
    <w:p>
      <w:pPr>
        <w:pStyle w:val="Heading2"/>
        <w:spacing w:before="160" w:after="40"/>
      </w:pPr>
      <w:r>
        <w:t>Paso 2: Instalación del Motor Desacoplado Ollama</w:t>
      </w:r>
    </w:p>
    <w:p>
      <w:pPr>
        <w:spacing w:after="120"/>
      </w:pPr>
      <w:r>
        <w:t>Ollama gestiona la carga y descarga de modelos en la GPU de manera autónoma:</w:t>
        <w:br/>
        <w:t>curl -fsSL https://ollama.com/install.sh | sh</w:t>
        <w:br/>
        <w:t>Configurar inicio automático como servicio del sistema:</w:t>
        <w:br/>
        <w:t>sudo systemctl enable ollama</w:t>
        <w:br/>
        <w:t>sudo systemctl start ollama</w:t>
      </w:r>
    </w:p>
    <w:p>
      <w:pPr>
        <w:pStyle w:val="Heading2"/>
        <w:spacing w:before="160" w:after="40"/>
      </w:pPr>
      <w:r>
        <w:t>Paso 3: Descarga de Modelos Abiertos Soberanos</w:t>
      </w:r>
    </w:p>
    <w:p>
      <w:pPr>
        <w:spacing w:after="120"/>
      </w:pPr>
      <w:r>
        <w:t>Ejecutar según el escalón de hardware disponible:</w:t>
        <w:br/>
        <w:t># Configuración Nivel Bajo:</w:t>
        <w:br/>
        <w:t>ollama pull llama3.1:8b</w:t>
        <w:br/>
        <w:t>ollama pull llama3.2-vision</w:t>
        <w:br/>
        <w:t>ollama pull nomic-embed-text</w:t>
        <w:br/>
        <w:t># Configuración Nivel Promedio / Recomendado:</w:t>
        <w:br/>
        <w:t>ollama pull llama3.3:70b</w:t>
        <w:br/>
        <w:t>ollama pull qwen2.5-vl</w:t>
        <w:br/>
        <w:t>ollama pull nomic-embed-text</w:t>
      </w:r>
    </w:p>
    <w:p>
      <w:pPr>
        <w:pStyle w:val="Heading2"/>
        <w:spacing w:before="160" w:after="40"/>
      </w:pPr>
      <w:r>
        <w:t>Paso 4: Base de Datos Relacional y Vectorial (PostgreSQL + pgvector)</w:t>
      </w:r>
    </w:p>
    <w:p>
      <w:pPr>
        <w:spacing w:after="120"/>
      </w:pPr>
      <w:r>
        <w:t>Ejecutar contenedor Docker aislado en red local (127.0.0.1):</w:t>
        <w:br/>
        <w:t>docker run -d --name nora-db --restart always \</w:t>
        <w:br/>
        <w:t xml:space="preserve">  -e POSTGRES_DB=noraitu_db \</w:t>
        <w:br/>
        <w:t xml:space="preserve">  -e POSTGRES_USER=nora_admin \</w:t>
        <w:br/>
        <w:t xml:space="preserve">  -e POSTGRES_PASSWORD=PASSWORD_SEGURA_GENERADA \</w:t>
        <w:br/>
        <w:t xml:space="preserve">  -p 127.0.0.1:5432:5432 \</w:t>
        <w:br/>
        <w:t xml:space="preserve">  -v nora_pgdata:/var/lib/postgresql/data \</w:t>
        <w:br/>
        <w:t xml:space="preserve">  pgvector/pgvector:pg16</w:t>
      </w:r>
    </w:p>
    <w:p>
      <w:pPr>
        <w:pStyle w:val="Heading2"/>
        <w:spacing w:before="160" w:after="40"/>
      </w:pPr>
      <w:r>
        <w:t>Paso 5: Despliegue de la Aplicación (Next.js con PM2)</w:t>
      </w:r>
    </w:p>
    <w:p>
      <w:pPr>
        <w:spacing w:after="120"/>
      </w:pPr>
      <w:r>
        <w:t>Compilar previamente la aplicación para proteger el código fuente:</w:t>
        <w:br/>
        <w:t>npm install -g pm2</w:t>
        <w:br/>
        <w:t>npm run build</w:t>
        <w:br/>
        <w:t>pm2 start npm --name 'noraitu-server' -- start -- -p 3000</w:t>
        <w:br/>
        <w:t>pm2 save &amp;&amp; pm2 startup</w:t>
      </w:r>
    </w:p>
    <w:p>
      <w:pPr>
        <w:pStyle w:val="Heading2"/>
        <w:spacing w:before="160" w:after="40"/>
      </w:pPr>
      <w:r>
        <w:t>Paso 6: Proxy Inverso Nginx y Certificados SSL</w:t>
      </w:r>
    </w:p>
    <w:p>
      <w:pPr>
        <w:spacing w:after="120"/>
      </w:pPr>
      <w:r>
        <w:t>Configurar Nginx para direccionar el tráfico entrante de los puertos 80/443 al puerto local 3000, con soporte de streaming SSE (proxy_buffering off, proxy_read_timeout 300s) y certificados HTTPS.</w:t>
      </w:r>
    </w:p>
    <w:p>
      <w:pPr>
        <w:pStyle w:val="Heading1"/>
        <w:spacing w:before="280" w:after="120"/>
      </w:pPr>
      <w:r>
        <w:t>6. Protocolo de Blindaje de Seguridad y Protección de Datos</w:t>
      </w:r>
    </w:p>
    <w:p>
      <w:r>
        <w:t>Para salvaguardar la propiedad intelectual de MyJNexoraVisual y dar cumplimiento estricto a la Ley 25.326 de Protección de Datos Personales de la República Argentina, se deben observar las siguientes directivas:</w:t>
      </w:r>
    </w:p>
    <w:p>
      <w:r>
        <w:rPr>
          <w:b/>
          <w:color w:val="B91C1C"/>
        </w:rPr>
        <w:t xml:space="preserve">🔒 Aislamiento Estricto de Puertos (Firewall UFW): </w:t>
      </w:r>
      <w:r>
        <w:t>Los puertos internos de inferencia (11434 de Ollama) y de base de datos (5432) DEBEN estar vinculados a 127.0.0.1. El firewall UFW solo debe permitir acceso a los puertos 80 (HTTP) y 443 (HTTPS) desde la red exterior.</w:t>
      </w:r>
    </w:p>
    <w:p>
      <w:r>
        <w:rPr>
          <w:b/>
          <w:color w:val="B91C1C"/>
        </w:rPr>
        <w:t xml:space="preserve">🔒 Gestión Segura de Variables de Entorno: </w:t>
      </w:r>
      <w:r>
        <w:t>Todas las credenciales locales deben residir en el archivo .env.production con permisos restringidos (chmod 600 .env.production). Jamás deben comitearse llaves maestras a repositorios Git públicos ni privados.</w:t>
      </w:r>
    </w:p>
    <w:p>
      <w:r>
        <w:rPr>
          <w:b/>
          <w:color w:val="B91C1C"/>
        </w:rPr>
        <w:t xml:space="preserve">🔒 Protección de la Propiedad Intelectual: </w:t>
      </w:r>
      <w:r>
        <w:t>Si el servidor físico es compartido o administrado por terceros, el código fuente (.ts, .tsx) y los prompts de blindaje constitucional NO deben quedar expuestos. Se debe entregar la aplicación compilada (standalone build de Next.js) o una imagen Docker sellada.</w:t>
      </w:r>
    </w:p>
    <w:p>
      <w:r>
        <w:rPr>
          <w:b/>
          <w:color w:val="B91C1C"/>
        </w:rPr>
        <w:t xml:space="preserve">🔒 Respaldo Eléctrico y Térmico: </w:t>
      </w:r>
      <w:r>
        <w:t>El servidor debe instalarse en una sala con refrigeración continua (&lt;24°C) y conectado a una UPS senoidal online de 1500VA+ para prevenir cortes abruptos que dañen los sectores de la GPU o la base vectorial.</w:t>
      </w:r>
    </w:p>
    <w:p>
      <w:pPr>
        <w:pStyle w:val="Heading1"/>
        <w:spacing w:before="280" w:after="120"/>
      </w:pPr>
      <w:r>
        <w:t>7. Checklist y Preguntas Clave para el Amigo que Ofrece el Servidor</w:t>
      </w:r>
    </w:p>
    <w:p>
      <w:r>
        <w:t>Antes de comprometer o trasladar el equipo físico, realice las siguientes 5 preguntas técnicas al colaborador:</w:t>
      </w:r>
    </w:p>
    <w:p>
      <w:r>
        <w:t>✓ 1. ¿Qué formato de chasis tiene el servidor? Si es un rack de 1U o 2U delgado, NO entrará una tarjeta gráfica convencional (RTX 3060/3090/4090) por altura y grosor. Se requiere chasis torre o rack de 4U.</w:t>
      </w:r>
    </w:p>
    <w:p>
      <w:r>
        <w:t>✓ 2. ¿Cuántos Watts ofrece la fuente de poder y qué conectores PCIe tiene libres? Se necesitan conectores PCIe de 8 pines dedicados y una fuente de mínimo 650W (nivel bajo) o 1000W (nivel promedio).</w:t>
      </w:r>
    </w:p>
    <w:p>
      <w:r>
        <w:t>✓ 3. ¿Qué procesador y qué versión de PCI Express tiene la placa madre? Se requiere ranura PCIe 4.0 x16 con soporte para 'Resizable BAR' (clave para la velocidad de intercambio CPU-GPU).</w:t>
      </w:r>
    </w:p>
    <w:p>
      <w:r>
        <w:t>✓ 4. ¿Cuánta memoria RAM física tiene instalada el equipo y si es expandible? El mínimo operativo son 32 GB, siendo recomendable 64 GB o 128 GB para soportar alta concurrencia.</w:t>
      </w:r>
    </w:p>
    <w:p>
      <w:r>
        <w:t>✓ 5. ¿Cuenta con bahías para discos NVMe M.2 de alta velocidad? Los discos mecánicos (HDD) son inviables para cargar modelos de IA en frío debido a su lentitud.</w:t>
      </w:r>
    </w:p>
    <w:p>
      <w:pPr>
        <w:spacing w:after="400"/>
      </w:pPr>
    </w:p>
    <w:p>
      <w:pPr>
        <w:jc w:val="right"/>
      </w:pPr>
      <w:r>
        <w:rPr>
          <w:b/>
          <w:sz w:val="20"/>
        </w:rPr>
        <w:t>MyJNexoraVisual - Dirección de Infraestructura e Innovación en IA</w:t>
        <w:br/>
      </w:r>
      <w:r>
        <w:rPr>
          <w:i/>
          <w:color w:val="64748B"/>
          <w:sz w:val="18"/>
        </w:rPr>
        <w:t>Ecosistema Soberano NoraItu IA &amp; Susy Bot Municipal | Ituzaingó, Corrientes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