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293B"/>
          <w:sz w:val="44"/>
        </w:rPr>
        <w:t>NeedLink</w:t>
      </w:r>
      <w:r>
        <w:rPr>
          <w:color w:val="94A3B8"/>
          <w:sz w:val="26"/>
        </w:rPr>
        <w:t xml:space="preserve">  ·  Technical Documentation</w:t>
      </w:r>
    </w:p>
    <w:p>
      <w:pPr>
        <w:spacing w:after="20"/>
      </w:pPr>
      <w:r>
        <w:rPr>
          <w:i/>
          <w:color w:val="94A3B8"/>
          <w:sz w:val="18"/>
        </w:rPr>
        <w:t>Version 1.0   ·   May 2026   ·   Page 1 of 2</w:t>
      </w:r>
    </w:p>
    <w:p>
      <w:pPr>
        <w:spacing w:before="60" w:after="200"/>
        <w:pBdr>
          <w:bottom w:val="single" w:sz="8" w:space="1" w:color="0D0D0D"/>
        </w:pBdr>
      </w:pPr>
    </w:p>
    <w:p>
      <w:pPr>
        <w:spacing w:before="260" w:after="80"/>
        <w:pBdr>
          <w:bottom w:val="single" w:sz="4" w:space="1" w:color="CBD5E1"/>
        </w:pBdr>
      </w:pPr>
      <w:r>
        <w:rPr>
          <w:b/>
          <w:color w:val="085E7A"/>
          <w:sz w:val="17"/>
        </w:rPr>
        <w:t>1. PROBLEM AND SOLUTION</w:t>
      </w:r>
    </w:p>
    <w:p>
      <w:pPr>
        <w:spacing w:after="100"/>
      </w:pPr>
      <w:r>
        <w:rPr>
          <w:color w:val="475569"/>
          <w:sz w:val="21"/>
        </w:rPr>
        <w:t>NGOs managing in-kind donation campaigns typically rely on WhatsApp groups, email threads, and spreadsheets to communicate what they need, track incoming pledges, and confirm deliveries. This leads to duplicate pledges, missed deadlines, and no reliable audit trail. NeedLink solves this by providing a single platform where NGOs post donation requests and donors discover, pledge, and track those donations through to delivery. Every step is recorded in a central database with access controls so each party only sees what is relevant to them.</w:t>
      </w:r>
    </w:p>
    <w:p>
      <w:pPr>
        <w:spacing w:before="260" w:after="80"/>
        <w:pBdr>
          <w:bottom w:val="single" w:sz="4" w:space="1" w:color="CBD5E1"/>
        </w:pBdr>
      </w:pPr>
      <w:r>
        <w:rPr>
          <w:b/>
          <w:color w:val="085E7A"/>
          <w:sz w:val="17"/>
        </w:rPr>
        <w:t>2. SYSTEM ARCHITECTURE</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F1F5F9"/>
          </w:tcPr>
          <w:p>
            <w:pPr>
              <w:spacing w:before="60" w:after="60"/>
              <w:ind w:left="80"/>
            </w:pPr>
            <w:r>
              <w:rPr>
                <w:b/>
                <w:color w:val="1E293B"/>
                <w:sz w:val="19"/>
              </w:rPr>
              <w:t>Component</w:t>
            </w:r>
          </w:p>
        </w:tc>
        <w:tc>
          <w:tcPr>
            <w:tcW w:type="dxa" w:w="3024"/>
            <w:shd w:val="clear" w:color="auto" w:fill="F1F5F9"/>
          </w:tcPr>
          <w:p>
            <w:pPr>
              <w:spacing w:before="60" w:after="60"/>
              <w:ind w:left="80"/>
            </w:pPr>
            <w:r>
              <w:rPr>
                <w:b/>
                <w:color w:val="1E293B"/>
                <w:sz w:val="19"/>
              </w:rPr>
              <w:t>Technology</w:t>
            </w:r>
          </w:p>
        </w:tc>
        <w:tc>
          <w:tcPr>
            <w:tcW w:type="dxa" w:w="4464"/>
            <w:shd w:val="clear" w:color="auto" w:fill="F1F5F9"/>
          </w:tcPr>
          <w:p>
            <w:pPr>
              <w:spacing w:before="60" w:after="60"/>
              <w:ind w:left="80"/>
            </w:pPr>
            <w:r>
              <w:rPr>
                <w:b/>
                <w:color w:val="1E293B"/>
                <w:sz w:val="19"/>
              </w:rPr>
              <w:t>Purpose</w:t>
            </w:r>
          </w:p>
        </w:tc>
      </w:tr>
      <w:tr>
        <w:tc>
          <w:tcPr>
            <w:tcW w:type="dxa" w:w="1872"/>
          </w:tcPr>
          <w:p>
            <w:pPr>
              <w:spacing w:before="60" w:after="60"/>
              <w:ind w:left="80"/>
            </w:pPr>
            <w:r>
              <w:rPr>
                <w:rFonts w:ascii="Courier New" w:hAnsi="Courier New"/>
                <w:b/>
                <w:color w:val="1E293B"/>
                <w:sz w:val="19"/>
              </w:rPr>
              <w:t>Mobile App</w:t>
            </w:r>
          </w:p>
        </w:tc>
        <w:tc>
          <w:tcPr>
            <w:tcW w:type="dxa" w:w="3024"/>
          </w:tcPr>
          <w:p>
            <w:pPr>
              <w:spacing w:before="60" w:after="60"/>
              <w:ind w:left="80"/>
            </w:pPr>
            <w:r>
              <w:rPr>
                <w:color w:val="475569"/>
                <w:sz w:val="19"/>
              </w:rPr>
              <w:t>Flutter 3 / Dart 3</w:t>
            </w:r>
          </w:p>
        </w:tc>
        <w:tc>
          <w:tcPr>
            <w:tcW w:type="dxa" w:w="4464"/>
          </w:tcPr>
          <w:p>
            <w:pPr>
              <w:spacing w:before="60" w:after="60"/>
              <w:ind w:left="80"/>
            </w:pPr>
            <w:r>
              <w:rPr>
                <w:color w:val="475569"/>
                <w:sz w:val="19"/>
              </w:rPr>
              <w:t>Primary client used daily by donors and NGO staff for all donation workflows.</w:t>
            </w:r>
          </w:p>
        </w:tc>
      </w:tr>
      <w:tr>
        <w:tc>
          <w:tcPr>
            <w:tcW w:type="dxa" w:w="1872"/>
          </w:tcPr>
          <w:p>
            <w:pPr>
              <w:spacing w:before="60" w:after="60"/>
              <w:ind w:left="80"/>
            </w:pPr>
            <w:r>
              <w:rPr>
                <w:rFonts w:ascii="Courier New" w:hAnsi="Courier New"/>
                <w:b/>
                <w:color w:val="1E293B"/>
                <w:sz w:val="19"/>
              </w:rPr>
              <w:t>Web Portal</w:t>
            </w:r>
          </w:p>
        </w:tc>
        <w:tc>
          <w:tcPr>
            <w:tcW w:type="dxa" w:w="3024"/>
          </w:tcPr>
          <w:p>
            <w:pPr>
              <w:spacing w:before="60" w:after="60"/>
              <w:ind w:left="80"/>
            </w:pPr>
            <w:r>
              <w:rPr>
                <w:color w:val="475569"/>
                <w:sz w:val="19"/>
              </w:rPr>
              <w:t>React 19 / TypeScript / Vite</w:t>
            </w:r>
          </w:p>
        </w:tc>
        <w:tc>
          <w:tcPr>
            <w:tcW w:type="dxa" w:w="4464"/>
          </w:tcPr>
          <w:p>
            <w:pPr>
              <w:spacing w:before="60" w:after="60"/>
              <w:ind w:left="80"/>
            </w:pPr>
            <w:r>
              <w:rPr>
                <w:color w:val="475569"/>
                <w:sz w:val="19"/>
              </w:rPr>
              <w:t>Website used only for NGO registration and account setup.</w:t>
            </w:r>
          </w:p>
        </w:tc>
      </w:tr>
      <w:tr>
        <w:tc>
          <w:tcPr>
            <w:tcW w:type="dxa" w:w="1872"/>
          </w:tcPr>
          <w:p>
            <w:pPr>
              <w:spacing w:before="60" w:after="60"/>
              <w:ind w:left="80"/>
            </w:pPr>
            <w:r>
              <w:rPr>
                <w:rFonts w:ascii="Courier New" w:hAnsi="Courier New"/>
                <w:b/>
                <w:color w:val="1E293B"/>
                <w:sz w:val="19"/>
              </w:rPr>
              <w:t>Backend</w:t>
            </w:r>
          </w:p>
        </w:tc>
        <w:tc>
          <w:tcPr>
            <w:tcW w:type="dxa" w:w="3024"/>
          </w:tcPr>
          <w:p>
            <w:pPr>
              <w:spacing w:before="60" w:after="60"/>
              <w:ind w:left="80"/>
            </w:pPr>
            <w:r>
              <w:rPr>
                <w:color w:val="475569"/>
                <w:sz w:val="19"/>
              </w:rPr>
              <w:t>Supabase (PostgreSQL)</w:t>
            </w:r>
          </w:p>
        </w:tc>
        <w:tc>
          <w:tcPr>
            <w:tcW w:type="dxa" w:w="4464"/>
          </w:tcPr>
          <w:p>
            <w:pPr>
              <w:spacing w:before="60" w:after="60"/>
              <w:ind w:left="80"/>
            </w:pPr>
            <w:r>
              <w:rPr>
                <w:color w:val="475569"/>
                <w:sz w:val="19"/>
              </w:rPr>
              <w:t>Provides the database, user authentication, REST API, and row-level security. All communication is over HTTPS with JWT tokens.</w:t>
            </w:r>
          </w:p>
        </w:tc>
      </w:tr>
    </w:tbl>
    <w:p>
      <w:pPr>
        <w:spacing w:after="40"/>
      </w:pPr>
    </w:p>
    <w:p>
      <w:pPr>
        <w:spacing w:before="260" w:after="80"/>
        <w:pBdr>
          <w:bottom w:val="single" w:sz="4" w:space="1" w:color="CBD5E1"/>
        </w:pBdr>
      </w:pPr>
      <w:r>
        <w:rPr>
          <w:b/>
          <w:color w:val="085E7A"/>
          <w:sz w:val="17"/>
        </w:rPr>
        <w:t>3.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3024"/>
            <w:shd w:val="clear" w:color="auto" w:fill="F1F5F9"/>
          </w:tcPr>
          <w:p>
            <w:pPr>
              <w:spacing w:before="60" w:after="60"/>
              <w:ind w:left="80"/>
            </w:pPr>
            <w:r>
              <w:rPr>
                <w:b/>
                <w:color w:val="1E293B"/>
                <w:sz w:val="19"/>
              </w:rPr>
              <w:t>Package</w:t>
            </w:r>
          </w:p>
        </w:tc>
        <w:tc>
          <w:tcPr>
            <w:tcW w:type="dxa" w:w="1584"/>
            <w:shd w:val="clear" w:color="auto" w:fill="F1F5F9"/>
          </w:tcPr>
          <w:p>
            <w:pPr>
              <w:spacing w:before="60" w:after="60"/>
              <w:ind w:left="80"/>
            </w:pPr>
            <w:r>
              <w:rPr>
                <w:b/>
                <w:color w:val="1E293B"/>
                <w:sz w:val="19"/>
              </w:rPr>
              <w:t>Version</w:t>
            </w:r>
          </w:p>
        </w:tc>
        <w:tc>
          <w:tcPr>
            <w:tcW w:type="dxa" w:w="4752"/>
            <w:shd w:val="clear" w:color="auto" w:fill="F1F5F9"/>
          </w:tcPr>
          <w:p>
            <w:pPr>
              <w:spacing w:before="60" w:after="60"/>
              <w:ind w:left="80"/>
            </w:pPr>
            <w:r>
              <w:rPr>
                <w:b/>
                <w:color w:val="1E293B"/>
                <w:sz w:val="19"/>
              </w:rPr>
              <w:t>Role</w:t>
            </w:r>
          </w:p>
        </w:tc>
      </w:tr>
      <w:tr>
        <w:tc>
          <w:tcPr>
            <w:tcW w:type="dxa" w:w="3024"/>
          </w:tcPr>
          <w:p>
            <w:pPr>
              <w:spacing w:before="60" w:after="60"/>
              <w:ind w:left="80"/>
            </w:pPr>
            <w:r>
              <w:rPr>
                <w:rFonts w:ascii="Courier New" w:hAnsi="Courier New"/>
                <w:b/>
                <w:color w:val="1E293B"/>
                <w:sz w:val="19"/>
              </w:rPr>
              <w:t>flutter / dart</w:t>
            </w:r>
          </w:p>
        </w:tc>
        <w:tc>
          <w:tcPr>
            <w:tcW w:type="dxa" w:w="1584"/>
          </w:tcPr>
          <w:p>
            <w:pPr>
              <w:spacing w:before="60" w:after="60"/>
              <w:ind w:left="80"/>
            </w:pPr>
            <w:r>
              <w:rPr>
                <w:color w:val="475569"/>
                <w:sz w:val="19"/>
              </w:rPr>
              <w:t>^3.11.0</w:t>
            </w:r>
          </w:p>
        </w:tc>
        <w:tc>
          <w:tcPr>
            <w:tcW w:type="dxa" w:w="4752"/>
          </w:tcPr>
          <w:p>
            <w:pPr>
              <w:spacing w:before="60" w:after="60"/>
              <w:ind w:left="80"/>
            </w:pPr>
            <w:r>
              <w:rPr>
                <w:color w:val="475569"/>
                <w:sz w:val="19"/>
              </w:rPr>
              <w:t>UI framework and language for the mobile app</w:t>
            </w:r>
          </w:p>
        </w:tc>
      </w:tr>
      <w:tr>
        <w:tc>
          <w:tcPr>
            <w:tcW w:type="dxa" w:w="3024"/>
          </w:tcPr>
          <w:p>
            <w:pPr>
              <w:spacing w:before="60" w:after="60"/>
              <w:ind w:left="80"/>
            </w:pPr>
            <w:r>
              <w:rPr>
                <w:rFonts w:ascii="Courier New" w:hAnsi="Courier New"/>
                <w:b/>
                <w:color w:val="1E293B"/>
                <w:sz w:val="19"/>
              </w:rPr>
              <w:t>supabase_flutter</w:t>
            </w:r>
          </w:p>
        </w:tc>
        <w:tc>
          <w:tcPr>
            <w:tcW w:type="dxa" w:w="1584"/>
          </w:tcPr>
          <w:p>
            <w:pPr>
              <w:spacing w:before="60" w:after="60"/>
              <w:ind w:left="80"/>
            </w:pPr>
            <w:r>
              <w:rPr>
                <w:color w:val="475569"/>
                <w:sz w:val="19"/>
              </w:rPr>
              <w:t>^2.12.4</w:t>
            </w:r>
          </w:p>
        </w:tc>
        <w:tc>
          <w:tcPr>
            <w:tcW w:type="dxa" w:w="4752"/>
          </w:tcPr>
          <w:p>
            <w:pPr>
              <w:spacing w:before="60" w:after="60"/>
              <w:ind w:left="80"/>
            </w:pPr>
            <w:r>
              <w:rPr>
                <w:color w:val="475569"/>
                <w:sz w:val="19"/>
              </w:rPr>
              <w:t>Supabase client for authentication and database queries</w:t>
            </w:r>
          </w:p>
        </w:tc>
      </w:tr>
      <w:tr>
        <w:tc>
          <w:tcPr>
            <w:tcW w:type="dxa" w:w="3024"/>
          </w:tcPr>
          <w:p>
            <w:pPr>
              <w:spacing w:before="60" w:after="60"/>
              <w:ind w:left="80"/>
            </w:pPr>
            <w:r>
              <w:rPr>
                <w:rFonts w:ascii="Courier New" w:hAnsi="Courier New"/>
                <w:b/>
                <w:color w:val="1E293B"/>
                <w:sz w:val="19"/>
              </w:rPr>
              <w:t>hooks_riverpod</w:t>
            </w:r>
          </w:p>
        </w:tc>
        <w:tc>
          <w:tcPr>
            <w:tcW w:type="dxa" w:w="1584"/>
          </w:tcPr>
          <w:p>
            <w:pPr>
              <w:spacing w:before="60" w:after="60"/>
              <w:ind w:left="80"/>
            </w:pPr>
            <w:r>
              <w:rPr>
                <w:color w:val="475569"/>
                <w:sz w:val="19"/>
              </w:rPr>
              <w:t>^3.3.1</w:t>
            </w:r>
          </w:p>
        </w:tc>
        <w:tc>
          <w:tcPr>
            <w:tcW w:type="dxa" w:w="4752"/>
          </w:tcPr>
          <w:p>
            <w:pPr>
              <w:spacing w:before="60" w:after="60"/>
              <w:ind w:left="80"/>
            </w:pPr>
            <w:r>
              <w:rPr>
                <w:color w:val="475569"/>
                <w:sz w:val="19"/>
              </w:rPr>
              <w:t>State management using FutureProvider and StreamProvider</w:t>
            </w:r>
          </w:p>
        </w:tc>
      </w:tr>
      <w:tr>
        <w:tc>
          <w:tcPr>
            <w:tcW w:type="dxa" w:w="3024"/>
          </w:tcPr>
          <w:p>
            <w:pPr>
              <w:spacing w:before="60" w:after="60"/>
              <w:ind w:left="80"/>
            </w:pPr>
            <w:r>
              <w:rPr>
                <w:rFonts w:ascii="Courier New" w:hAnsi="Courier New"/>
                <w:b/>
                <w:color w:val="1E293B"/>
                <w:sz w:val="19"/>
              </w:rPr>
              <w:t>go_router</w:t>
            </w:r>
          </w:p>
        </w:tc>
        <w:tc>
          <w:tcPr>
            <w:tcW w:type="dxa" w:w="1584"/>
          </w:tcPr>
          <w:p>
            <w:pPr>
              <w:spacing w:before="60" w:after="60"/>
              <w:ind w:left="80"/>
            </w:pPr>
            <w:r>
              <w:rPr>
                <w:color w:val="475569"/>
                <w:sz w:val="19"/>
              </w:rPr>
              <w:t>^17.2.3</w:t>
            </w:r>
          </w:p>
        </w:tc>
        <w:tc>
          <w:tcPr>
            <w:tcW w:type="dxa" w:w="4752"/>
          </w:tcPr>
          <w:p>
            <w:pPr>
              <w:spacing w:before="60" w:after="60"/>
              <w:ind w:left="80"/>
            </w:pPr>
            <w:r>
              <w:rPr>
                <w:color w:val="475569"/>
                <w:sz w:val="19"/>
              </w:rPr>
              <w:t>Declarative routing with ShellRoute tab shells</w:t>
            </w:r>
          </w:p>
        </w:tc>
      </w:tr>
      <w:tr>
        <w:tc>
          <w:tcPr>
            <w:tcW w:type="dxa" w:w="3024"/>
          </w:tcPr>
          <w:p>
            <w:pPr>
              <w:spacing w:before="60" w:after="60"/>
              <w:ind w:left="80"/>
            </w:pPr>
            <w:r>
              <w:rPr>
                <w:rFonts w:ascii="Courier New" w:hAnsi="Courier New"/>
                <w:b/>
                <w:color w:val="1E293B"/>
                <w:sz w:val="19"/>
              </w:rPr>
              <w:t>google_fonts</w:t>
            </w:r>
          </w:p>
        </w:tc>
        <w:tc>
          <w:tcPr>
            <w:tcW w:type="dxa" w:w="1584"/>
          </w:tcPr>
          <w:p>
            <w:pPr>
              <w:spacing w:before="60" w:after="60"/>
              <w:ind w:left="80"/>
            </w:pPr>
            <w:r>
              <w:rPr>
                <w:color w:val="475569"/>
                <w:sz w:val="19"/>
              </w:rPr>
              <w:t>^6.2.1</w:t>
            </w:r>
          </w:p>
        </w:tc>
        <w:tc>
          <w:tcPr>
            <w:tcW w:type="dxa" w:w="4752"/>
          </w:tcPr>
          <w:p>
            <w:pPr>
              <w:spacing w:before="60" w:after="60"/>
              <w:ind w:left="80"/>
            </w:pPr>
            <w:r>
              <w:rPr>
                <w:color w:val="475569"/>
                <w:sz w:val="19"/>
              </w:rPr>
              <w:t>Typography using Plus Jakarta Sans</w:t>
            </w:r>
          </w:p>
        </w:tc>
      </w:tr>
      <w:tr>
        <w:tc>
          <w:tcPr>
            <w:tcW w:type="dxa" w:w="3024"/>
          </w:tcPr>
          <w:p>
            <w:pPr>
              <w:spacing w:before="60" w:after="60"/>
              <w:ind w:left="80"/>
            </w:pPr>
            <w:r>
              <w:rPr>
                <w:rFonts w:ascii="Courier New" w:hAnsi="Courier New"/>
                <w:b/>
                <w:color w:val="1E293B"/>
                <w:sz w:val="19"/>
              </w:rPr>
              <w:t>cached_network_image</w:t>
            </w:r>
          </w:p>
        </w:tc>
        <w:tc>
          <w:tcPr>
            <w:tcW w:type="dxa" w:w="1584"/>
          </w:tcPr>
          <w:p>
            <w:pPr>
              <w:spacing w:before="60" w:after="60"/>
              <w:ind w:left="80"/>
            </w:pPr>
            <w:r>
              <w:rPr>
                <w:color w:val="475569"/>
                <w:sz w:val="19"/>
              </w:rPr>
              <w:t>^3.4.1</w:t>
            </w:r>
          </w:p>
        </w:tc>
        <w:tc>
          <w:tcPr>
            <w:tcW w:type="dxa" w:w="4752"/>
          </w:tcPr>
          <w:p>
            <w:pPr>
              <w:spacing w:before="60" w:after="60"/>
              <w:ind w:left="80"/>
            </w:pPr>
            <w:r>
              <w:rPr>
                <w:color w:val="475569"/>
                <w:sz w:val="19"/>
              </w:rPr>
              <w:t>Efficient network image loading and caching</w:t>
            </w:r>
          </w:p>
        </w:tc>
      </w:tr>
      <w:tr>
        <w:tc>
          <w:tcPr>
            <w:tcW w:type="dxa" w:w="3024"/>
          </w:tcPr>
          <w:p>
            <w:pPr>
              <w:spacing w:before="60" w:after="60"/>
              <w:ind w:left="80"/>
            </w:pPr>
            <w:r>
              <w:rPr>
                <w:rFonts w:ascii="Courier New" w:hAnsi="Courier New"/>
                <w:b/>
                <w:color w:val="1E293B"/>
                <w:sz w:val="19"/>
              </w:rPr>
              <w:t>react</w:t>
            </w:r>
          </w:p>
        </w:tc>
        <w:tc>
          <w:tcPr>
            <w:tcW w:type="dxa" w:w="1584"/>
          </w:tcPr>
          <w:p>
            <w:pPr>
              <w:spacing w:before="60" w:after="60"/>
              <w:ind w:left="80"/>
            </w:pPr>
            <w:r>
              <w:rPr>
                <w:color w:val="475569"/>
                <w:sz w:val="19"/>
              </w:rPr>
              <w:t>^19.2.5</w:t>
            </w:r>
          </w:p>
        </w:tc>
        <w:tc>
          <w:tcPr>
            <w:tcW w:type="dxa" w:w="4752"/>
          </w:tcPr>
          <w:p>
            <w:pPr>
              <w:spacing w:before="60" w:after="60"/>
              <w:ind w:left="80"/>
            </w:pPr>
            <w:r>
              <w:rPr>
                <w:color w:val="475569"/>
                <w:sz w:val="19"/>
              </w:rPr>
              <w:t>UI framework for the web portal</w:t>
            </w:r>
          </w:p>
        </w:tc>
      </w:tr>
      <w:tr>
        <w:tc>
          <w:tcPr>
            <w:tcW w:type="dxa" w:w="3024"/>
          </w:tcPr>
          <w:p>
            <w:pPr>
              <w:spacing w:before="60" w:after="60"/>
              <w:ind w:left="80"/>
            </w:pPr>
            <w:r>
              <w:rPr>
                <w:rFonts w:ascii="Courier New" w:hAnsi="Courier New"/>
                <w:b/>
                <w:color w:val="1E293B"/>
                <w:sz w:val="19"/>
              </w:rPr>
              <w:t>@supabase/supabase-js</w:t>
            </w:r>
          </w:p>
        </w:tc>
        <w:tc>
          <w:tcPr>
            <w:tcW w:type="dxa" w:w="1584"/>
          </w:tcPr>
          <w:p>
            <w:pPr>
              <w:spacing w:before="60" w:after="60"/>
              <w:ind w:left="80"/>
            </w:pPr>
            <w:r>
              <w:rPr>
                <w:color w:val="475569"/>
                <w:sz w:val="19"/>
              </w:rPr>
              <w:t>^2.105.4</w:t>
            </w:r>
          </w:p>
        </w:tc>
        <w:tc>
          <w:tcPr>
            <w:tcW w:type="dxa" w:w="4752"/>
          </w:tcPr>
          <w:p>
            <w:pPr>
              <w:spacing w:before="60" w:after="60"/>
              <w:ind w:left="80"/>
            </w:pPr>
            <w:r>
              <w:rPr>
                <w:color w:val="475569"/>
                <w:sz w:val="19"/>
              </w:rPr>
              <w:t>Supabase client for the web portal</w:t>
            </w:r>
          </w:p>
        </w:tc>
      </w:tr>
      <w:tr>
        <w:tc>
          <w:tcPr>
            <w:tcW w:type="dxa" w:w="3024"/>
          </w:tcPr>
          <w:p>
            <w:pPr>
              <w:spacing w:before="60" w:after="60"/>
              <w:ind w:left="80"/>
            </w:pPr>
            <w:r>
              <w:rPr>
                <w:rFonts w:ascii="Courier New" w:hAnsi="Courier New"/>
                <w:b/>
                <w:color w:val="1E293B"/>
                <w:sz w:val="19"/>
              </w:rPr>
              <w:t>tailwindcss</w:t>
            </w:r>
          </w:p>
        </w:tc>
        <w:tc>
          <w:tcPr>
            <w:tcW w:type="dxa" w:w="1584"/>
          </w:tcPr>
          <w:p>
            <w:pPr>
              <w:spacing w:before="60" w:after="60"/>
              <w:ind w:left="80"/>
            </w:pPr>
            <w:r>
              <w:rPr>
                <w:color w:val="475569"/>
                <w:sz w:val="19"/>
              </w:rPr>
              <w:t>^4.3.0</w:t>
            </w:r>
          </w:p>
        </w:tc>
        <w:tc>
          <w:tcPr>
            <w:tcW w:type="dxa" w:w="4752"/>
          </w:tcPr>
          <w:p>
            <w:pPr>
              <w:spacing w:before="60" w:after="60"/>
              <w:ind w:left="80"/>
            </w:pPr>
            <w:r>
              <w:rPr>
                <w:color w:val="475569"/>
                <w:sz w:val="19"/>
              </w:rPr>
              <w:t>Utility-first CSS styling</w:t>
            </w:r>
          </w:p>
        </w:tc>
      </w:tr>
      <w:tr>
        <w:tc>
          <w:tcPr>
            <w:tcW w:type="dxa" w:w="3024"/>
          </w:tcPr>
          <w:p>
            <w:pPr>
              <w:spacing w:before="60" w:after="60"/>
              <w:ind w:left="80"/>
            </w:pPr>
            <w:r>
              <w:rPr>
                <w:rFonts w:ascii="Courier New" w:hAnsi="Courier New"/>
                <w:b/>
                <w:color w:val="1E293B"/>
                <w:sz w:val="19"/>
              </w:rPr>
              <w:t>zod</w:t>
            </w:r>
          </w:p>
        </w:tc>
        <w:tc>
          <w:tcPr>
            <w:tcW w:type="dxa" w:w="1584"/>
          </w:tcPr>
          <w:p>
            <w:pPr>
              <w:spacing w:before="60" w:after="60"/>
              <w:ind w:left="80"/>
            </w:pPr>
            <w:r>
              <w:rPr>
                <w:color w:val="475569"/>
                <w:sz w:val="19"/>
              </w:rPr>
              <w:t>^4.4.3</w:t>
            </w:r>
          </w:p>
        </w:tc>
        <w:tc>
          <w:tcPr>
            <w:tcW w:type="dxa" w:w="4752"/>
          </w:tcPr>
          <w:p>
            <w:pPr>
              <w:spacing w:before="60" w:after="60"/>
              <w:ind w:left="80"/>
            </w:pPr>
            <w:r>
              <w:rPr>
                <w:color w:val="475569"/>
                <w:sz w:val="19"/>
              </w:rPr>
              <w:t>Schema validation for registration forms</w:t>
            </w:r>
          </w:p>
        </w:tc>
      </w:tr>
      <w:tr>
        <w:tc>
          <w:tcPr>
            <w:tcW w:type="dxa" w:w="3024"/>
          </w:tcPr>
          <w:p>
            <w:pPr>
              <w:spacing w:before="60" w:after="60"/>
              <w:ind w:left="80"/>
            </w:pPr>
            <w:r>
              <w:rPr>
                <w:rFonts w:ascii="Courier New" w:hAnsi="Courier New"/>
                <w:b/>
                <w:color w:val="1E293B"/>
                <w:sz w:val="19"/>
              </w:rPr>
              <w:t>recharts</w:t>
            </w:r>
          </w:p>
        </w:tc>
        <w:tc>
          <w:tcPr>
            <w:tcW w:type="dxa" w:w="1584"/>
          </w:tcPr>
          <w:p>
            <w:pPr>
              <w:spacing w:before="60" w:after="60"/>
              <w:ind w:left="80"/>
            </w:pPr>
            <w:r>
              <w:rPr>
                <w:color w:val="475569"/>
                <w:sz w:val="19"/>
              </w:rPr>
              <w:t>^3.8.1</w:t>
            </w:r>
          </w:p>
        </w:tc>
        <w:tc>
          <w:tcPr>
            <w:tcW w:type="dxa" w:w="4752"/>
          </w:tcPr>
          <w:p>
            <w:pPr>
              <w:spacing w:before="60" w:after="60"/>
              <w:ind w:left="80"/>
            </w:pPr>
            <w:r>
              <w:rPr>
                <w:color w:val="475569"/>
                <w:sz w:val="19"/>
              </w:rPr>
              <w:t>Charts and data visualisation</w:t>
            </w:r>
          </w:p>
        </w:tc>
      </w:tr>
    </w:tbl>
    <w:p>
      <w:pPr>
        <w:spacing w:after="40"/>
      </w:pPr>
    </w:p>
    <w:p>
      <w:pPr>
        <w:spacing w:before="260" w:after="80"/>
        <w:pBdr>
          <w:bottom w:val="single" w:sz="4" w:space="1" w:color="CBD5E1"/>
        </w:pBdr>
      </w:pPr>
      <w:r>
        <w:rPr>
          <w:b/>
          <w:color w:val="085E7A"/>
          <w:sz w:val="17"/>
        </w:rPr>
        <w:t>4. MOBILE APP ARCHITECTURE</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F1F5F9"/>
          </w:tcPr>
          <w:p>
            <w:pPr>
              <w:spacing w:before="60" w:after="60"/>
              <w:ind w:left="80"/>
            </w:pPr>
            <w:r>
              <w:rPr>
                <w:b/>
                <w:color w:val="1E293B"/>
                <w:sz w:val="19"/>
              </w:rPr>
              <w:t>File / Layer</w:t>
            </w:r>
          </w:p>
        </w:tc>
        <w:tc>
          <w:tcPr>
            <w:tcW w:type="dxa" w:w="6480"/>
            <w:shd w:val="clear" w:color="auto" w:fill="F1F5F9"/>
          </w:tcPr>
          <w:p>
            <w:pPr>
              <w:spacing w:before="60" w:after="60"/>
              <w:ind w:left="80"/>
            </w:pPr>
            <w:r>
              <w:rPr>
                <w:b/>
                <w:color w:val="1E293B"/>
                <w:sz w:val="19"/>
              </w:rPr>
              <w:t>Description</w:t>
            </w:r>
          </w:p>
        </w:tc>
      </w:tr>
      <w:tr>
        <w:tc>
          <w:tcPr>
            <w:tcW w:type="dxa" w:w="2880"/>
          </w:tcPr>
          <w:p>
            <w:pPr>
              <w:spacing w:before="60" w:after="60"/>
              <w:ind w:left="80"/>
            </w:pPr>
            <w:r>
              <w:rPr>
                <w:rFonts w:ascii="Courier New" w:hAnsi="Courier New"/>
                <w:b/>
                <w:color w:val="1E293B"/>
                <w:sz w:val="19"/>
              </w:rPr>
              <w:t>main.dart</w:t>
            </w:r>
          </w:p>
        </w:tc>
        <w:tc>
          <w:tcPr>
            <w:tcW w:type="dxa" w:w="6480"/>
          </w:tcPr>
          <w:p>
            <w:pPr>
              <w:spacing w:before="60" w:after="60"/>
              <w:ind w:left="80"/>
            </w:pPr>
            <w:r>
              <w:rPr>
                <w:color w:val="475569"/>
                <w:sz w:val="19"/>
              </w:rPr>
              <w:t>Entry point. Initialises the Supabase client, wraps the app in a Riverpod ProviderScope, and attaches the GoRouter instance.</w:t>
            </w:r>
          </w:p>
        </w:tc>
      </w:tr>
      <w:tr>
        <w:tc>
          <w:tcPr>
            <w:tcW w:type="dxa" w:w="2880"/>
          </w:tcPr>
          <w:p>
            <w:pPr>
              <w:spacing w:before="60" w:after="60"/>
              <w:ind w:left="80"/>
            </w:pPr>
            <w:r>
              <w:rPr>
                <w:rFonts w:ascii="Courier New" w:hAnsi="Courier New"/>
                <w:b/>
                <w:color w:val="1E293B"/>
                <w:sz w:val="19"/>
              </w:rPr>
              <w:t>models.dart</w:t>
            </w:r>
          </w:p>
        </w:tc>
        <w:tc>
          <w:tcPr>
            <w:tcW w:type="dxa" w:w="6480"/>
          </w:tcPr>
          <w:p>
            <w:pPr>
              <w:spacing w:before="60" w:after="60"/>
              <w:ind w:left="80"/>
            </w:pPr>
            <w:r>
              <w:rPr>
                <w:color w:val="475569"/>
                <w:sz w:val="19"/>
              </w:rPr>
              <w:t>Defines four typed classes: Profile, Ngo, DonationNeed, and Pledge. Each has a fromJson constructor. DonationNeed exposes computed helpers: progress, remaining, isUrgent, and isOpen.</w:t>
            </w:r>
          </w:p>
        </w:tc>
      </w:tr>
      <w:tr>
        <w:tc>
          <w:tcPr>
            <w:tcW w:type="dxa" w:w="2880"/>
          </w:tcPr>
          <w:p>
            <w:pPr>
              <w:spacing w:before="60" w:after="60"/>
              <w:ind w:left="80"/>
            </w:pPr>
            <w:r>
              <w:rPr>
                <w:rFonts w:ascii="Courier New" w:hAnsi="Courier New"/>
                <w:b/>
                <w:color w:val="1E293B"/>
                <w:sz w:val="19"/>
              </w:rPr>
              <w:t>providers.dart</w:t>
            </w:r>
          </w:p>
        </w:tc>
        <w:tc>
          <w:tcPr>
            <w:tcW w:type="dxa" w:w="6480"/>
          </w:tcPr>
          <w:p>
            <w:pPr>
              <w:spacing w:before="60" w:after="60"/>
              <w:ind w:left="80"/>
            </w:pPr>
            <w:r>
              <w:rPr>
                <w:color w:val="475569"/>
                <w:sz w:val="19"/>
              </w:rPr>
              <w:t>Six Riverpod FutureProviders, each wrapping one Supabase query. Widgets never call Supabase directly; they observe a provider and receive loading, data, or error state.</w:t>
            </w:r>
          </w:p>
        </w:tc>
      </w:tr>
      <w:tr>
        <w:tc>
          <w:tcPr>
            <w:tcW w:type="dxa" w:w="2880"/>
          </w:tcPr>
          <w:p>
            <w:pPr>
              <w:spacing w:before="60" w:after="60"/>
              <w:ind w:left="80"/>
            </w:pPr>
            <w:r>
              <w:rPr>
                <w:rFonts w:ascii="Courier New" w:hAnsi="Courier New"/>
                <w:b/>
                <w:color w:val="1E293B"/>
                <w:sz w:val="19"/>
              </w:rPr>
              <w:t>router.dart</w:t>
            </w:r>
          </w:p>
        </w:tc>
        <w:tc>
          <w:tcPr>
            <w:tcW w:type="dxa" w:w="6480"/>
          </w:tcPr>
          <w:p>
            <w:pPr>
              <w:spacing w:before="60" w:after="60"/>
              <w:ind w:left="80"/>
            </w:pPr>
            <w:r>
              <w:rPr>
                <w:color w:val="475569"/>
                <w:sz w:val="19"/>
              </w:rPr>
              <w:t>GoRouter config with two ShellRoutes (DonorShell, NgoShell), a splash resolver that reads user role, and a global redirect guard for unauthenticated access.</w:t>
            </w:r>
          </w:p>
        </w:tc>
      </w:tr>
      <w:tr>
        <w:tc>
          <w:tcPr>
            <w:tcW w:type="dxa" w:w="2880"/>
          </w:tcPr>
          <w:p>
            <w:pPr>
              <w:spacing w:before="60" w:after="60"/>
              <w:ind w:left="80"/>
            </w:pPr>
            <w:r>
              <w:rPr>
                <w:rFonts w:ascii="Courier New" w:hAnsi="Courier New"/>
                <w:b/>
                <w:color w:val="1E293B"/>
                <w:sz w:val="19"/>
              </w:rPr>
              <w:t>theme.dart</w:t>
            </w:r>
          </w:p>
        </w:tc>
        <w:tc>
          <w:tcPr>
            <w:tcW w:type="dxa" w:w="6480"/>
          </w:tcPr>
          <w:p>
            <w:pPr>
              <w:spacing w:before="60" w:after="60"/>
              <w:ind w:left="80"/>
            </w:pPr>
            <w:r>
              <w:rPr>
                <w:color w:val="475569"/>
                <w:sz w:val="19"/>
              </w:rPr>
              <w:t>Named colour constants (kPrimary, kAccent, kUrgent, kMatched, etc.) and a global ThemeData. No widget hardcodes a colour directly.</w:t>
            </w:r>
          </w:p>
        </w:tc>
      </w:tr>
      <w:tr>
        <w:tc>
          <w:tcPr>
            <w:tcW w:type="dxa" w:w="2880"/>
          </w:tcPr>
          <w:p>
            <w:pPr>
              <w:spacing w:before="60" w:after="60"/>
              <w:ind w:left="80"/>
            </w:pPr>
            <w:r>
              <w:rPr>
                <w:rFonts w:ascii="Courier New" w:hAnsi="Courier New"/>
                <w:b/>
                <w:color w:val="1E293B"/>
                <w:sz w:val="19"/>
              </w:rPr>
              <w:t>widgets/app_shell.dart</w:t>
            </w:r>
          </w:p>
        </w:tc>
        <w:tc>
          <w:tcPr>
            <w:tcW w:type="dxa" w:w="6480"/>
          </w:tcPr>
          <w:p>
            <w:pPr>
              <w:spacing w:before="60" w:after="60"/>
              <w:ind w:left="80"/>
            </w:pPr>
            <w:r>
              <w:rPr>
                <w:color w:val="475569"/>
                <w:sz w:val="19"/>
              </w:rPr>
              <w:t>DonorShell and NgoShell — persistent NavigationBar wrappers shared by all tab screens.</w:t>
            </w:r>
          </w:p>
        </w:tc>
      </w:tr>
      <w:tr>
        <w:tc>
          <w:tcPr>
            <w:tcW w:type="dxa" w:w="2880"/>
          </w:tcPr>
          <w:p>
            <w:pPr>
              <w:spacing w:before="60" w:after="60"/>
              <w:ind w:left="80"/>
            </w:pPr>
            <w:r>
              <w:rPr>
                <w:rFonts w:ascii="Courier New" w:hAnsi="Courier New"/>
                <w:b/>
                <w:color w:val="1E293B"/>
                <w:sz w:val="19"/>
              </w:rPr>
              <w:t>widgets/need_card.dart</w:t>
            </w:r>
          </w:p>
        </w:tc>
        <w:tc>
          <w:tcPr>
            <w:tcW w:type="dxa" w:w="6480"/>
          </w:tcPr>
          <w:p>
            <w:pPr>
              <w:spacing w:before="60" w:after="60"/>
              <w:ind w:left="80"/>
            </w:pPr>
            <w:r>
              <w:rPr>
                <w:color w:val="475569"/>
                <w:sz w:val="19"/>
              </w:rPr>
              <w:t>Reusable donation card with a gradient hero area, dot pattern painter, urgency badge, and progress bar.</w:t>
            </w:r>
          </w:p>
        </w:tc>
      </w:tr>
      <w:tr>
        <w:tc>
          <w:tcPr>
            <w:tcW w:type="dxa" w:w="2880"/>
          </w:tcPr>
          <w:p>
            <w:pPr>
              <w:spacing w:before="60" w:after="60"/>
              <w:ind w:left="80"/>
            </w:pPr>
            <w:r>
              <w:rPr>
                <w:rFonts w:ascii="Courier New" w:hAnsi="Courier New"/>
                <w:b/>
                <w:color w:val="1E293B"/>
                <w:sz w:val="19"/>
              </w:rPr>
              <w:t>screens/auth/</w:t>
            </w:r>
          </w:p>
        </w:tc>
        <w:tc>
          <w:tcPr>
            <w:tcW w:type="dxa" w:w="6480"/>
          </w:tcPr>
          <w:p>
            <w:pPr>
              <w:spacing w:before="60" w:after="60"/>
              <w:ind w:left="80"/>
            </w:pPr>
            <w:r>
              <w:rPr>
                <w:color w:val="475569"/>
                <w:sz w:val="19"/>
              </w:rPr>
              <w:t>LoginScreen and RegisterScreen.</w:t>
            </w:r>
          </w:p>
        </w:tc>
      </w:tr>
      <w:tr>
        <w:tc>
          <w:tcPr>
            <w:tcW w:type="dxa" w:w="2880"/>
          </w:tcPr>
          <w:p>
            <w:pPr>
              <w:spacing w:before="60" w:after="60"/>
              <w:ind w:left="80"/>
            </w:pPr>
            <w:r>
              <w:rPr>
                <w:rFonts w:ascii="Courier New" w:hAnsi="Courier New"/>
                <w:b/>
                <w:color w:val="1E293B"/>
                <w:sz w:val="19"/>
              </w:rPr>
              <w:t>screens/donor/</w:t>
            </w:r>
          </w:p>
        </w:tc>
        <w:tc>
          <w:tcPr>
            <w:tcW w:type="dxa" w:w="6480"/>
          </w:tcPr>
          <w:p>
            <w:pPr>
              <w:spacing w:before="60" w:after="60"/>
              <w:ind w:left="80"/>
            </w:pPr>
            <w:r>
              <w:rPr>
                <w:color w:val="475569"/>
                <w:sz w:val="19"/>
              </w:rPr>
              <w:t>DonorHomeScreen, NeedDetailScreen, MyPledgesScreen, TrackingScreen, TrackingDetailScreen, DonorProfileScreen.</w:t>
            </w:r>
          </w:p>
        </w:tc>
      </w:tr>
      <w:tr>
        <w:tc>
          <w:tcPr>
            <w:tcW w:type="dxa" w:w="2880"/>
          </w:tcPr>
          <w:p>
            <w:pPr>
              <w:spacing w:before="60" w:after="60"/>
              <w:ind w:left="80"/>
            </w:pPr>
            <w:r>
              <w:rPr>
                <w:rFonts w:ascii="Courier New" w:hAnsi="Courier New"/>
                <w:b/>
                <w:color w:val="1E293B"/>
                <w:sz w:val="19"/>
              </w:rPr>
              <w:t>screens/ngo/</w:t>
            </w:r>
          </w:p>
        </w:tc>
        <w:tc>
          <w:tcPr>
            <w:tcW w:type="dxa" w:w="6480"/>
          </w:tcPr>
          <w:p>
            <w:pPr>
              <w:spacing w:before="60" w:after="60"/>
              <w:ind w:left="80"/>
            </w:pPr>
            <w:r>
              <w:rPr>
                <w:color w:val="475569"/>
                <w:sz w:val="19"/>
              </w:rPr>
              <w:t>NgoHomeScreen, CreateNeedScreen, NgoPledgesScreen, ImpactReportsScreen, NgoSettingsScreen.</w:t>
            </w:r>
          </w:p>
        </w:tc>
      </w:tr>
    </w:tbl>
    <w:p>
      <w:pPr>
        <w:spacing w:after="40"/>
      </w:pPr>
    </w:p>
    <w:p>
      <w:r>
        <w:br w:type="page"/>
      </w:r>
    </w:p>
    <w:p>
      <w:pPr>
        <w:spacing w:after="40"/>
      </w:pPr>
      <w:r>
        <w:rPr>
          <w:b/>
          <w:color w:val="1E293B"/>
          <w:sz w:val="44"/>
        </w:rPr>
        <w:t>NeedLink</w:t>
      </w:r>
      <w:r>
        <w:rPr>
          <w:color w:val="94A3B8"/>
          <w:sz w:val="26"/>
        </w:rPr>
        <w:t xml:space="preserve">  ·  Technical Documentation</w:t>
      </w:r>
    </w:p>
    <w:p>
      <w:pPr>
        <w:spacing w:after="20"/>
      </w:pPr>
      <w:r>
        <w:rPr>
          <w:i/>
          <w:color w:val="94A3B8"/>
          <w:sz w:val="18"/>
        </w:rPr>
        <w:t>Version 1.0   ·   May 2026   ·   Page 2 of 2</w:t>
      </w:r>
    </w:p>
    <w:p>
      <w:pPr>
        <w:spacing w:before="60" w:after="200"/>
        <w:pBdr>
          <w:bottom w:val="single" w:sz="8" w:space="1" w:color="0D0D0D"/>
        </w:pBdr>
      </w:pPr>
    </w:p>
    <w:p>
      <w:pPr>
        <w:spacing w:before="260" w:after="80"/>
        <w:pBdr>
          <w:bottom w:val="single" w:sz="4" w:space="1" w:color="CBD5E1"/>
        </w:pBdr>
      </w:pPr>
      <w:r>
        <w:rPr>
          <w:b/>
          <w:color w:val="085E7A"/>
          <w:sz w:val="17"/>
        </w:rPr>
        <w:t>5. SCREENS AND FEATURES</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F1F5F9"/>
          </w:tcPr>
          <w:p>
            <w:pPr>
              <w:spacing w:before="60" w:after="60"/>
              <w:ind w:left="80"/>
            </w:pPr>
            <w:r>
              <w:rPr>
                <w:b/>
                <w:color w:val="1E293B"/>
                <w:sz w:val="19"/>
              </w:rPr>
              <w:t>Screen</w:t>
            </w:r>
          </w:p>
        </w:tc>
        <w:tc>
          <w:tcPr>
            <w:tcW w:type="dxa" w:w="1440"/>
            <w:shd w:val="clear" w:color="auto" w:fill="F1F5F9"/>
          </w:tcPr>
          <w:p>
            <w:pPr>
              <w:spacing w:before="60" w:after="60"/>
              <w:ind w:left="80"/>
            </w:pPr>
            <w:r>
              <w:rPr>
                <w:b/>
                <w:color w:val="1E293B"/>
                <w:sz w:val="19"/>
              </w:rPr>
              <w:t>Role</w:t>
            </w:r>
          </w:p>
        </w:tc>
        <w:tc>
          <w:tcPr>
            <w:tcW w:type="dxa" w:w="5760"/>
            <w:shd w:val="clear" w:color="auto" w:fill="F1F5F9"/>
          </w:tcPr>
          <w:p>
            <w:pPr>
              <w:spacing w:before="60" w:after="60"/>
              <w:ind w:left="80"/>
            </w:pPr>
            <w:r>
              <w:rPr>
                <w:b/>
                <w:color w:val="1E293B"/>
                <w:sz w:val="19"/>
              </w:rPr>
              <w:t>Description</w:t>
            </w:r>
          </w:p>
        </w:tc>
      </w:tr>
      <w:tr>
        <w:tc>
          <w:tcPr>
            <w:tcW w:type="dxa" w:w="2160"/>
          </w:tcPr>
          <w:p>
            <w:pPr>
              <w:spacing w:before="60" w:after="60"/>
              <w:ind w:left="80"/>
            </w:pPr>
            <w:r>
              <w:rPr>
                <w:rFonts w:ascii="Courier New" w:hAnsi="Courier New"/>
                <w:b/>
                <w:color w:val="1E293B"/>
                <w:sz w:val="19"/>
              </w:rPr>
              <w:t>Donor Home</w:t>
            </w:r>
          </w:p>
        </w:tc>
        <w:tc>
          <w:tcPr>
            <w:tcW w:type="dxa" w:w="1440"/>
          </w:tcPr>
          <w:p>
            <w:pPr>
              <w:spacing w:before="60" w:after="60"/>
              <w:ind w:left="80"/>
            </w:pPr>
            <w:r>
              <w:rPr>
                <w:color w:val="475569"/>
                <w:sz w:val="19"/>
              </w:rPr>
              <w:t>Donor</w:t>
            </w:r>
          </w:p>
        </w:tc>
        <w:tc>
          <w:tcPr>
            <w:tcW w:type="dxa" w:w="5760"/>
          </w:tcPr>
          <w:p>
            <w:pPr>
              <w:spacing w:before="60" w:after="60"/>
              <w:ind w:left="80"/>
            </w:pPr>
            <w:r>
              <w:rPr>
                <w:color w:val="475569"/>
                <w:sz w:val="19"/>
              </w:rPr>
              <w:t>Discovery feed of open needs. Pinned search bar and category filter chips. Pull-to-refresh re-fetches data.</w:t>
            </w:r>
          </w:p>
        </w:tc>
      </w:tr>
      <w:tr>
        <w:tc>
          <w:tcPr>
            <w:tcW w:type="dxa" w:w="2160"/>
          </w:tcPr>
          <w:p>
            <w:pPr>
              <w:spacing w:before="60" w:after="60"/>
              <w:ind w:left="80"/>
            </w:pPr>
            <w:r>
              <w:rPr>
                <w:rFonts w:ascii="Courier New" w:hAnsi="Courier New"/>
                <w:b/>
                <w:color w:val="1E293B"/>
                <w:sz w:val="19"/>
              </w:rPr>
              <w:t>Need Detail</w:t>
            </w:r>
          </w:p>
        </w:tc>
        <w:tc>
          <w:tcPr>
            <w:tcW w:type="dxa" w:w="1440"/>
          </w:tcPr>
          <w:p>
            <w:pPr>
              <w:spacing w:before="60" w:after="60"/>
              <w:ind w:left="80"/>
            </w:pPr>
            <w:r>
              <w:rPr>
                <w:color w:val="475569"/>
                <w:sz w:val="19"/>
              </w:rPr>
              <w:t>Donor</w:t>
            </w:r>
          </w:p>
        </w:tc>
        <w:tc>
          <w:tcPr>
            <w:tcW w:type="dxa" w:w="5760"/>
          </w:tcPr>
          <w:p>
            <w:pPr>
              <w:spacing w:before="60" w:after="60"/>
              <w:ind w:left="80"/>
            </w:pPr>
            <w:r>
              <w:rPr>
                <w:color w:val="475569"/>
                <w:sz w:val="19"/>
              </w:rPr>
              <w:t>Full need information with progress bar. A bottom sheet slides up to collect pledge quantity, delivery date, and notes.</w:t>
            </w:r>
          </w:p>
        </w:tc>
      </w:tr>
      <w:tr>
        <w:tc>
          <w:tcPr>
            <w:tcW w:type="dxa" w:w="2160"/>
          </w:tcPr>
          <w:p>
            <w:pPr>
              <w:spacing w:before="60" w:after="60"/>
              <w:ind w:left="80"/>
            </w:pPr>
            <w:r>
              <w:rPr>
                <w:rFonts w:ascii="Courier New" w:hAnsi="Courier New"/>
                <w:b/>
                <w:color w:val="1E293B"/>
                <w:sz w:val="19"/>
              </w:rPr>
              <w:t>My Pledges</w:t>
            </w:r>
          </w:p>
        </w:tc>
        <w:tc>
          <w:tcPr>
            <w:tcW w:type="dxa" w:w="1440"/>
          </w:tcPr>
          <w:p>
            <w:pPr>
              <w:spacing w:before="60" w:after="60"/>
              <w:ind w:left="80"/>
            </w:pPr>
            <w:r>
              <w:rPr>
                <w:color w:val="475569"/>
                <w:sz w:val="19"/>
              </w:rPr>
              <w:t>Donor</w:t>
            </w:r>
          </w:p>
        </w:tc>
        <w:tc>
          <w:tcPr>
            <w:tcW w:type="dxa" w:w="5760"/>
          </w:tcPr>
          <w:p>
            <w:pPr>
              <w:spacing w:before="60" w:after="60"/>
              <w:ind w:left="80"/>
            </w:pPr>
            <w:r>
              <w:rPr>
                <w:color w:val="475569"/>
                <w:sz w:val="19"/>
              </w:rPr>
              <w:t>All pledges with summary stats at the top. Filter chips narrow by status. Each entry links to tracking detail.</w:t>
            </w:r>
          </w:p>
        </w:tc>
      </w:tr>
      <w:tr>
        <w:tc>
          <w:tcPr>
            <w:tcW w:type="dxa" w:w="2160"/>
          </w:tcPr>
          <w:p>
            <w:pPr>
              <w:spacing w:before="60" w:after="60"/>
              <w:ind w:left="80"/>
            </w:pPr>
            <w:r>
              <w:rPr>
                <w:rFonts w:ascii="Courier New" w:hAnsi="Courier New"/>
                <w:b/>
                <w:color w:val="1E293B"/>
                <w:sz w:val="19"/>
              </w:rPr>
              <w:t>Tracking Detail</w:t>
            </w:r>
          </w:p>
        </w:tc>
        <w:tc>
          <w:tcPr>
            <w:tcW w:type="dxa" w:w="1440"/>
          </w:tcPr>
          <w:p>
            <w:pPr>
              <w:spacing w:before="60" w:after="60"/>
              <w:ind w:left="80"/>
            </w:pPr>
            <w:r>
              <w:rPr>
                <w:color w:val="475569"/>
                <w:sz w:val="19"/>
              </w:rPr>
              <w:t>Donor</w:t>
            </w:r>
          </w:p>
        </w:tc>
        <w:tc>
          <w:tcPr>
            <w:tcW w:type="dxa" w:w="5760"/>
          </w:tcPr>
          <w:p>
            <w:pPr>
              <w:spacing w:before="60" w:after="60"/>
              <w:ind w:left="80"/>
            </w:pPr>
            <w:r>
              <w:rPr>
                <w:color w:val="475569"/>
                <w:sz w:val="19"/>
              </w:rPr>
              <w:t>Delivery timeline for a single pledge, showing each status change from pending to confirmed.</w:t>
            </w:r>
          </w:p>
        </w:tc>
      </w:tr>
      <w:tr>
        <w:tc>
          <w:tcPr>
            <w:tcW w:type="dxa" w:w="2160"/>
          </w:tcPr>
          <w:p>
            <w:pPr>
              <w:spacing w:before="60" w:after="60"/>
              <w:ind w:left="80"/>
            </w:pPr>
            <w:r>
              <w:rPr>
                <w:rFonts w:ascii="Courier New" w:hAnsi="Courier New"/>
                <w:b/>
                <w:color w:val="1E293B"/>
                <w:sz w:val="19"/>
              </w:rPr>
              <w:t>Donor Profile</w:t>
            </w:r>
          </w:p>
        </w:tc>
        <w:tc>
          <w:tcPr>
            <w:tcW w:type="dxa" w:w="1440"/>
          </w:tcPr>
          <w:p>
            <w:pPr>
              <w:spacing w:before="60" w:after="60"/>
              <w:ind w:left="80"/>
            </w:pPr>
            <w:r>
              <w:rPr>
                <w:color w:val="475569"/>
                <w:sz w:val="19"/>
              </w:rPr>
              <w:t>Donor</w:t>
            </w:r>
          </w:p>
        </w:tc>
        <w:tc>
          <w:tcPr>
            <w:tcW w:type="dxa" w:w="5760"/>
          </w:tcPr>
          <w:p>
            <w:pPr>
              <w:spacing w:before="60" w:after="60"/>
              <w:ind w:left="80"/>
            </w:pPr>
            <w:r>
              <w:rPr>
                <w:color w:val="475569"/>
                <w:sz w:val="19"/>
              </w:rPr>
              <w:t>Contribution stats, donor tier badge, recent donations list, and account settings including sign-out.</w:t>
            </w:r>
          </w:p>
        </w:tc>
      </w:tr>
      <w:tr>
        <w:tc>
          <w:tcPr>
            <w:tcW w:type="dxa" w:w="2160"/>
          </w:tcPr>
          <w:p>
            <w:pPr>
              <w:spacing w:before="60" w:after="60"/>
              <w:ind w:left="80"/>
            </w:pPr>
            <w:r>
              <w:rPr>
                <w:rFonts w:ascii="Courier New" w:hAnsi="Courier New"/>
                <w:b/>
                <w:color w:val="1E293B"/>
                <w:sz w:val="19"/>
              </w:rPr>
              <w:t>NGO Dashboard</w:t>
            </w:r>
          </w:p>
        </w:tc>
        <w:tc>
          <w:tcPr>
            <w:tcW w:type="dxa" w:w="1440"/>
          </w:tcPr>
          <w:p>
            <w:pPr>
              <w:spacing w:before="60" w:after="60"/>
              <w:ind w:left="80"/>
            </w:pPr>
            <w:r>
              <w:rPr>
                <w:color w:val="475569"/>
                <w:sz w:val="19"/>
              </w:rPr>
              <w:t>NGO Admin</w:t>
            </w:r>
          </w:p>
        </w:tc>
        <w:tc>
          <w:tcPr>
            <w:tcW w:type="dxa" w:w="5760"/>
          </w:tcPr>
          <w:p>
            <w:pPr>
              <w:spacing w:before="60" w:after="60"/>
              <w:ind w:left="80"/>
            </w:pPr>
            <w:r>
              <w:rPr>
                <w:color w:val="475569"/>
                <w:sz w:val="19"/>
              </w:rPr>
              <w:t>Overview of total pledges, items received, active needs with progress bars, and incoming pledges to confirm or reject.</w:t>
            </w:r>
          </w:p>
        </w:tc>
      </w:tr>
      <w:tr>
        <w:tc>
          <w:tcPr>
            <w:tcW w:type="dxa" w:w="2160"/>
          </w:tcPr>
          <w:p>
            <w:pPr>
              <w:spacing w:before="60" w:after="60"/>
              <w:ind w:left="80"/>
            </w:pPr>
            <w:r>
              <w:rPr>
                <w:rFonts w:ascii="Courier New" w:hAnsi="Courier New"/>
                <w:b/>
                <w:color w:val="1E293B"/>
                <w:sz w:val="19"/>
              </w:rPr>
              <w:t>Create Need</w:t>
            </w:r>
          </w:p>
        </w:tc>
        <w:tc>
          <w:tcPr>
            <w:tcW w:type="dxa" w:w="1440"/>
          </w:tcPr>
          <w:p>
            <w:pPr>
              <w:spacing w:before="60" w:after="60"/>
              <w:ind w:left="80"/>
            </w:pPr>
            <w:r>
              <w:rPr>
                <w:color w:val="475569"/>
                <w:sz w:val="19"/>
              </w:rPr>
              <w:t>NGO Admin</w:t>
            </w:r>
          </w:p>
        </w:tc>
        <w:tc>
          <w:tcPr>
            <w:tcW w:type="dxa" w:w="5760"/>
          </w:tcPr>
          <w:p>
            <w:pPr>
              <w:spacing w:before="60" w:after="60"/>
              <w:ind w:left="80"/>
            </w:pPr>
            <w:r>
              <w:rPr>
                <w:color w:val="475569"/>
                <w:sz w:val="19"/>
              </w:rPr>
              <w:t>3-step form: item details and urgency, then quantity and deadline, then a review summary before publishing.</w:t>
            </w:r>
          </w:p>
        </w:tc>
      </w:tr>
      <w:tr>
        <w:tc>
          <w:tcPr>
            <w:tcW w:type="dxa" w:w="2160"/>
          </w:tcPr>
          <w:p>
            <w:pPr>
              <w:spacing w:before="60" w:after="60"/>
              <w:ind w:left="80"/>
            </w:pPr>
            <w:r>
              <w:rPr>
                <w:rFonts w:ascii="Courier New" w:hAnsi="Courier New"/>
                <w:b/>
                <w:color w:val="1E293B"/>
                <w:sz w:val="19"/>
              </w:rPr>
              <w:t>NGO Pledges</w:t>
            </w:r>
          </w:p>
        </w:tc>
        <w:tc>
          <w:tcPr>
            <w:tcW w:type="dxa" w:w="1440"/>
          </w:tcPr>
          <w:p>
            <w:pPr>
              <w:spacing w:before="60" w:after="60"/>
              <w:ind w:left="80"/>
            </w:pPr>
            <w:r>
              <w:rPr>
                <w:color w:val="475569"/>
                <w:sz w:val="19"/>
              </w:rPr>
              <w:t>NGO Admin</w:t>
            </w:r>
          </w:p>
        </w:tc>
        <w:tc>
          <w:tcPr>
            <w:tcW w:type="dxa" w:w="5760"/>
          </w:tcPr>
          <w:p>
            <w:pPr>
              <w:spacing w:before="60" w:after="60"/>
              <w:ind w:left="80"/>
            </w:pPr>
            <w:r>
              <w:rPr>
                <w:color w:val="475569"/>
                <w:sz w:val="19"/>
              </w:rPr>
              <w:t>Full pledge list across all needs. Filter by status. Each card has Confirm and Reject buttons with loading states.</w:t>
            </w:r>
          </w:p>
        </w:tc>
      </w:tr>
      <w:tr>
        <w:tc>
          <w:tcPr>
            <w:tcW w:type="dxa" w:w="2160"/>
          </w:tcPr>
          <w:p>
            <w:pPr>
              <w:spacing w:before="60" w:after="60"/>
              <w:ind w:left="80"/>
            </w:pPr>
            <w:r>
              <w:rPr>
                <w:rFonts w:ascii="Courier New" w:hAnsi="Courier New"/>
                <w:b/>
                <w:color w:val="1E293B"/>
                <w:sz w:val="19"/>
              </w:rPr>
              <w:t>Impact Reports</w:t>
            </w:r>
          </w:p>
        </w:tc>
        <w:tc>
          <w:tcPr>
            <w:tcW w:type="dxa" w:w="1440"/>
          </w:tcPr>
          <w:p>
            <w:pPr>
              <w:spacing w:before="60" w:after="60"/>
              <w:ind w:left="80"/>
            </w:pPr>
            <w:r>
              <w:rPr>
                <w:color w:val="475569"/>
                <w:sz w:val="19"/>
              </w:rPr>
              <w:t>NGO Admin</w:t>
            </w:r>
          </w:p>
        </w:tc>
        <w:tc>
          <w:tcPr>
            <w:tcW w:type="dxa" w:w="5760"/>
          </w:tcPr>
          <w:p>
            <w:pPr>
              <w:spacing w:before="60" w:after="60"/>
              <w:ind w:left="80"/>
            </w:pPr>
            <w:r>
              <w:rPr>
                <w:color w:val="475569"/>
                <w:sz w:val="19"/>
              </w:rPr>
              <w:t>Key metrics, category breakdown with progress bars, success story cards, and downloadable period report tiles.</w:t>
            </w:r>
          </w:p>
        </w:tc>
      </w:tr>
      <w:tr>
        <w:tc>
          <w:tcPr>
            <w:tcW w:type="dxa" w:w="2160"/>
          </w:tcPr>
          <w:p>
            <w:pPr>
              <w:spacing w:before="60" w:after="60"/>
              <w:ind w:left="80"/>
            </w:pPr>
            <w:r>
              <w:rPr>
                <w:rFonts w:ascii="Courier New" w:hAnsi="Courier New"/>
                <w:b/>
                <w:color w:val="1E293B"/>
                <w:sz w:val="19"/>
              </w:rPr>
              <w:t>NGO Settings</w:t>
            </w:r>
          </w:p>
        </w:tc>
        <w:tc>
          <w:tcPr>
            <w:tcW w:type="dxa" w:w="1440"/>
          </w:tcPr>
          <w:p>
            <w:pPr>
              <w:spacing w:before="60" w:after="60"/>
              <w:ind w:left="80"/>
            </w:pPr>
            <w:r>
              <w:rPr>
                <w:color w:val="475569"/>
                <w:sz w:val="19"/>
              </w:rPr>
              <w:t>NGO Admin</w:t>
            </w:r>
          </w:p>
        </w:tc>
        <w:tc>
          <w:tcPr>
            <w:tcW w:type="dxa" w:w="5760"/>
          </w:tcPr>
          <w:p>
            <w:pPr>
              <w:spacing w:before="60" w:after="60"/>
              <w:ind w:left="80"/>
            </w:pPr>
            <w:r>
              <w:rPr>
                <w:color w:val="475569"/>
                <w:sz w:val="19"/>
              </w:rPr>
              <w:t>Organisation profile management and account settings for the NGO admin.</w:t>
            </w:r>
          </w:p>
        </w:tc>
      </w:tr>
    </w:tbl>
    <w:p>
      <w:pPr>
        <w:spacing w:after="40"/>
      </w:pPr>
    </w:p>
    <w:p>
      <w:pPr>
        <w:spacing w:before="260" w:after="80"/>
        <w:pBdr>
          <w:bottom w:val="single" w:sz="4" w:space="1" w:color="CBD5E1"/>
        </w:pBdr>
      </w:pPr>
      <w:r>
        <w:rPr>
          <w:b/>
          <w:color w:val="085E7A"/>
          <w:sz w:val="17"/>
        </w:rPr>
        <w:t>6. KEY IMPLEMENTATION PATTERNS</w:t>
      </w:r>
    </w:p>
    <w:p>
      <w:pPr>
        <w:spacing w:after="100"/>
      </w:pPr>
      <w:r>
        <w:rPr>
          <w:color w:val="475569"/>
          <w:sz w:val="21"/>
        </w:rPr>
        <w:t>Supabase supports relational joins within a single API call using an embedded resource syntax. Fetching a pledge together with its related donation need and the donor profile in one round trip is written as:</w:t>
      </w:r>
    </w:p>
    <w:p>
      <w:pPr>
        <w:spacing w:after="100"/>
        <w:ind w:left="283"/>
      </w:pPr>
      <w:r>
        <w:rPr>
          <w:rFonts w:ascii="Courier New" w:hAnsi="Courier New"/>
          <w:color w:val="1E405C"/>
          <w:sz w:val="18"/>
        </w:rPr>
        <w:t>.select('*, donation_need:donation_needs!inner(*, ngo_id), donor:profiles!donor_id(full_name, phone)')</w:t>
      </w:r>
    </w:p>
    <w:p>
      <w:pPr>
        <w:spacing w:after="100"/>
      </w:pPr>
      <w:r>
        <w:rPr>
          <w:color w:val="475569"/>
          <w:sz w:val="21"/>
        </w:rPr>
        <w:t>Because Supabase returns raw JSON as an untyped list, every provider applies an explicit cast before calling the model fromJson constructor:</w:t>
      </w:r>
    </w:p>
    <w:p>
      <w:pPr>
        <w:spacing w:after="100"/>
        <w:ind w:left="283"/>
      </w:pPr>
      <w:r>
        <w:rPr>
          <w:rFonts w:ascii="Courier New" w:hAnsi="Courier New"/>
          <w:color w:val="1E405C"/>
          <w:sz w:val="18"/>
        </w:rPr>
        <w:t>(data as List).map((e) =&gt; Model.fromJson(e as Map&lt;String, dynamic&gt;)).toList()</w:t>
      </w:r>
    </w:p>
    <w:p>
      <w:pPr>
        <w:spacing w:after="100"/>
      </w:pPr>
      <w:r>
        <w:rPr>
          <w:color w:val="475569"/>
          <w:sz w:val="21"/>
        </w:rPr>
        <w:t>The NeedCard widget uses a CustomPainter to draw a dot grid over a gradient hero area. Each category maps to its own gradient so cards are visually distinct without text labels. The CreateNeedScreen manages step state locally using an IndexedStack and wraps the final submit in a try/catch with a loading indicator and error snackbar on failure.</w:t>
      </w:r>
    </w:p>
    <w:p>
      <w:pPr>
        <w:spacing w:before="260" w:after="80"/>
        <w:pBdr>
          <w:bottom w:val="single" w:sz="4" w:space="1" w:color="CBD5E1"/>
        </w:pBdr>
      </w:pPr>
      <w:r>
        <w:rPr>
          <w:b/>
          <w:color w:val="085E7A"/>
          <w:sz w:val="17"/>
        </w:rPr>
        <w:t>7. AUTHENTICATION FLOW</w:t>
      </w:r>
    </w:p>
    <w:tbl>
      <w:tblPr>
        <w:tblStyle w:val="TableGrid"/>
        <w:tblW w:type="auto" w:w="0"/>
        <w:jc w:val="left"/>
        <w:tblLook w:firstColumn="1" w:firstRow="1" w:lastColumn="0" w:lastRow="0" w:noHBand="0" w:noVBand="1" w:val="04A0"/>
      </w:tblPr>
      <w:tblGrid>
        <w:gridCol w:w="3135"/>
        <w:gridCol w:w="3135"/>
        <w:gridCol w:w="3135"/>
      </w:tblGrid>
      <w:tr>
        <w:tc>
          <w:tcPr>
            <w:tcW w:type="dxa" w:w="576"/>
            <w:shd w:val="clear" w:color="auto" w:fill="F1F5F9"/>
          </w:tcPr>
          <w:p>
            <w:pPr>
              <w:spacing w:before="60" w:after="60"/>
              <w:ind w:left="80"/>
            </w:pPr>
            <w:r>
              <w:rPr>
                <w:b/>
                <w:color w:val="1E293B"/>
                <w:sz w:val="19"/>
              </w:rPr>
              <w:t>Step</w:t>
            </w:r>
          </w:p>
        </w:tc>
        <w:tc>
          <w:tcPr>
            <w:tcW w:type="dxa" w:w="2304"/>
            <w:shd w:val="clear" w:color="auto" w:fill="F1F5F9"/>
          </w:tcPr>
          <w:p>
            <w:pPr>
              <w:spacing w:before="60" w:after="60"/>
              <w:ind w:left="80"/>
            </w:pPr>
            <w:r>
              <w:rPr>
                <w:b/>
                <w:color w:val="1E293B"/>
                <w:sz w:val="19"/>
              </w:rPr>
              <w:t>Where</w:t>
            </w:r>
          </w:p>
        </w:tc>
        <w:tc>
          <w:tcPr>
            <w:tcW w:type="dxa" w:w="6480"/>
            <w:shd w:val="clear" w:color="auto" w:fill="F1F5F9"/>
          </w:tcPr>
          <w:p>
            <w:pPr>
              <w:spacing w:before="60" w:after="60"/>
              <w:ind w:left="80"/>
            </w:pPr>
            <w:r>
              <w:rPr>
                <w:b/>
                <w:color w:val="1E293B"/>
                <w:sz w:val="19"/>
              </w:rPr>
              <w:t>What Happens</w:t>
            </w:r>
          </w:p>
        </w:tc>
      </w:tr>
      <w:tr>
        <w:tc>
          <w:tcPr>
            <w:tcW w:type="dxa" w:w="576"/>
          </w:tcPr>
          <w:p>
            <w:pPr>
              <w:spacing w:before="60" w:after="60"/>
              <w:ind w:left="80"/>
            </w:pPr>
            <w:r>
              <w:rPr>
                <w:color w:val="475569"/>
                <w:sz w:val="19"/>
              </w:rPr>
              <w:t>1</w:t>
            </w:r>
          </w:p>
        </w:tc>
        <w:tc>
          <w:tcPr>
            <w:tcW w:type="dxa" w:w="2304"/>
          </w:tcPr>
          <w:p>
            <w:pPr>
              <w:spacing w:before="60" w:after="60"/>
              <w:ind w:left="80"/>
            </w:pPr>
            <w:r>
              <w:rPr>
                <w:color w:val="475569"/>
                <w:sz w:val="19"/>
              </w:rPr>
              <w:t>Register screen</w:t>
            </w:r>
          </w:p>
        </w:tc>
        <w:tc>
          <w:tcPr>
            <w:tcW w:type="dxa" w:w="6480"/>
          </w:tcPr>
          <w:p>
            <w:pPr>
              <w:spacing w:before="60" w:after="60"/>
              <w:ind w:left="80"/>
            </w:pPr>
            <w:r>
              <w:rPr>
                <w:color w:val="475569"/>
                <w:sz w:val="19"/>
              </w:rPr>
              <w:t>User submits name, email, password, and role. App calls Supabase sign-up with role and name passed in the user metadata payload.</w:t>
            </w:r>
          </w:p>
        </w:tc>
      </w:tr>
      <w:tr>
        <w:tc>
          <w:tcPr>
            <w:tcW w:type="dxa" w:w="576"/>
          </w:tcPr>
          <w:p>
            <w:pPr>
              <w:spacing w:before="60" w:after="60"/>
              <w:ind w:left="80"/>
            </w:pPr>
            <w:r>
              <w:rPr>
                <w:color w:val="475569"/>
                <w:sz w:val="19"/>
              </w:rPr>
              <w:t>2</w:t>
            </w:r>
          </w:p>
        </w:tc>
        <w:tc>
          <w:tcPr>
            <w:tcW w:type="dxa" w:w="2304"/>
          </w:tcPr>
          <w:p>
            <w:pPr>
              <w:spacing w:before="60" w:after="60"/>
              <w:ind w:left="80"/>
            </w:pPr>
            <w:r>
              <w:rPr>
                <w:color w:val="475569"/>
                <w:sz w:val="19"/>
              </w:rPr>
              <w:t>Supabase Auth</w:t>
            </w:r>
          </w:p>
        </w:tc>
        <w:tc>
          <w:tcPr>
            <w:tcW w:type="dxa" w:w="6480"/>
          </w:tcPr>
          <w:p>
            <w:pPr>
              <w:spacing w:before="60" w:after="60"/>
              <w:ind w:left="80"/>
            </w:pPr>
            <w:r>
              <w:rPr>
                <w:color w:val="475569"/>
                <w:sz w:val="19"/>
              </w:rPr>
              <w:t>Supabase creates a new row in auth.users and issues a signed JWT session token.</w:t>
            </w:r>
          </w:p>
        </w:tc>
      </w:tr>
      <w:tr>
        <w:tc>
          <w:tcPr>
            <w:tcW w:type="dxa" w:w="576"/>
          </w:tcPr>
          <w:p>
            <w:pPr>
              <w:spacing w:before="60" w:after="60"/>
              <w:ind w:left="80"/>
            </w:pPr>
            <w:r>
              <w:rPr>
                <w:color w:val="475569"/>
                <w:sz w:val="19"/>
              </w:rPr>
              <w:t>3</w:t>
            </w:r>
          </w:p>
        </w:tc>
        <w:tc>
          <w:tcPr>
            <w:tcW w:type="dxa" w:w="2304"/>
          </w:tcPr>
          <w:p>
            <w:pPr>
              <w:spacing w:before="60" w:after="60"/>
              <w:ind w:left="80"/>
            </w:pPr>
            <w:r>
              <w:rPr>
                <w:color w:val="475569"/>
                <w:sz w:val="19"/>
              </w:rPr>
              <w:t>PostgreSQL trigger</w:t>
            </w:r>
          </w:p>
        </w:tc>
        <w:tc>
          <w:tcPr>
            <w:tcW w:type="dxa" w:w="6480"/>
          </w:tcPr>
          <w:p>
            <w:pPr>
              <w:spacing w:before="60" w:after="60"/>
              <w:ind w:left="80"/>
            </w:pPr>
            <w:r>
              <w:rPr>
                <w:color w:val="475569"/>
                <w:sz w:val="19"/>
              </w:rPr>
              <w:t>The on_auth_user_created trigger fires immediately, reads name and role from the metadata, and inserts a matching row in public.profiles.</w:t>
            </w:r>
          </w:p>
        </w:tc>
      </w:tr>
      <w:tr>
        <w:tc>
          <w:tcPr>
            <w:tcW w:type="dxa" w:w="576"/>
          </w:tcPr>
          <w:p>
            <w:pPr>
              <w:spacing w:before="60" w:after="60"/>
              <w:ind w:left="80"/>
            </w:pPr>
            <w:r>
              <w:rPr>
                <w:color w:val="475569"/>
                <w:sz w:val="19"/>
              </w:rPr>
              <w:t>4</w:t>
            </w:r>
          </w:p>
        </w:tc>
        <w:tc>
          <w:tcPr>
            <w:tcW w:type="dxa" w:w="2304"/>
          </w:tcPr>
          <w:p>
            <w:pPr>
              <w:spacing w:before="60" w:after="60"/>
              <w:ind w:left="80"/>
            </w:pPr>
            <w:r>
              <w:rPr>
                <w:color w:val="475569"/>
                <w:sz w:val="19"/>
              </w:rPr>
              <w:t>Splash screen</w:t>
            </w:r>
          </w:p>
        </w:tc>
        <w:tc>
          <w:tcPr>
            <w:tcW w:type="dxa" w:w="6480"/>
          </w:tcPr>
          <w:p>
            <w:pPr>
              <w:spacing w:before="60" w:after="60"/>
              <w:ind w:left="80"/>
            </w:pPr>
            <w:r>
              <w:rPr>
                <w:color w:val="475569"/>
                <w:sz w:val="19"/>
              </w:rPr>
              <w:t>On next launch the app checks for an active session. If none exists the user goes to the login screen.</w:t>
            </w:r>
          </w:p>
        </w:tc>
      </w:tr>
      <w:tr>
        <w:tc>
          <w:tcPr>
            <w:tcW w:type="dxa" w:w="576"/>
          </w:tcPr>
          <w:p>
            <w:pPr>
              <w:spacing w:before="60" w:after="60"/>
              <w:ind w:left="80"/>
            </w:pPr>
            <w:r>
              <w:rPr>
                <w:color w:val="475569"/>
                <w:sz w:val="19"/>
              </w:rPr>
              <w:t>5</w:t>
            </w:r>
          </w:p>
        </w:tc>
        <w:tc>
          <w:tcPr>
            <w:tcW w:type="dxa" w:w="2304"/>
          </w:tcPr>
          <w:p>
            <w:pPr>
              <w:spacing w:before="60" w:after="60"/>
              <w:ind w:left="80"/>
            </w:pPr>
            <w:r>
              <w:rPr>
                <w:color w:val="475569"/>
                <w:sz w:val="19"/>
              </w:rPr>
              <w:t>Role resolution</w:t>
            </w:r>
          </w:p>
        </w:tc>
        <w:tc>
          <w:tcPr>
            <w:tcW w:type="dxa" w:w="6480"/>
          </w:tcPr>
          <w:p>
            <w:pPr>
              <w:spacing w:before="60" w:after="60"/>
              <w:ind w:left="80"/>
            </w:pPr>
            <w:r>
              <w:rPr>
                <w:color w:val="475569"/>
                <w:sz w:val="19"/>
              </w:rPr>
              <w:t>If a session exists the app fetches profiles.role for the current user and routes to the donor shell or the NGO shell accordingly.</w:t>
            </w:r>
          </w:p>
        </w:tc>
      </w:tr>
      <w:tr>
        <w:tc>
          <w:tcPr>
            <w:tcW w:type="dxa" w:w="576"/>
          </w:tcPr>
          <w:p>
            <w:pPr>
              <w:spacing w:before="60" w:after="60"/>
              <w:ind w:left="80"/>
            </w:pPr>
            <w:r>
              <w:rPr>
                <w:color w:val="475569"/>
                <w:sz w:val="19"/>
              </w:rPr>
              <w:t>6</w:t>
            </w:r>
          </w:p>
        </w:tc>
        <w:tc>
          <w:tcPr>
            <w:tcW w:type="dxa" w:w="2304"/>
          </w:tcPr>
          <w:p>
            <w:pPr>
              <w:spacing w:before="60" w:after="60"/>
              <w:ind w:left="80"/>
            </w:pPr>
            <w:r>
              <w:rPr>
                <w:color w:val="475569"/>
                <w:sz w:val="19"/>
              </w:rPr>
              <w:t>Token refresh</w:t>
            </w:r>
          </w:p>
        </w:tc>
        <w:tc>
          <w:tcPr>
            <w:tcW w:type="dxa" w:w="6480"/>
          </w:tcPr>
          <w:p>
            <w:pPr>
              <w:spacing w:before="60" w:after="60"/>
              <w:ind w:left="80"/>
            </w:pPr>
            <w:r>
              <w:rPr>
                <w:color w:val="475569"/>
                <w:sz w:val="19"/>
              </w:rPr>
              <w:t>The Supabase Flutter SDK refreshes the JWT silently in the background. The app never handles tokens manually.</w:t>
            </w:r>
          </w:p>
        </w:tc>
      </w:tr>
    </w:tbl>
    <w:p>
      <w:pPr>
        <w:spacing w:after="40"/>
      </w:pPr>
    </w:p>
    <w:p>
      <w:pPr>
        <w:spacing w:before="260" w:after="80"/>
        <w:pBdr>
          <w:bottom w:val="single" w:sz="4" w:space="1" w:color="CBD5E1"/>
        </w:pBdr>
      </w:pPr>
      <w:r>
        <w:rPr>
          <w:b/>
          <w:color w:val="085E7A"/>
          <w:sz w:val="17"/>
        </w:rPr>
        <w:t>8. DATA SECURITY</w:t>
      </w:r>
    </w:p>
    <w:p>
      <w:pPr>
        <w:spacing w:after="100"/>
      </w:pPr>
      <w:r>
        <w:rPr>
          <w:color w:val="475569"/>
          <w:sz w:val="21"/>
        </w:rPr>
        <w:t>Row-level security is enabled on every table in the database. Each table has policies that define exactly which rows a given authenticated user can read, insert, update, or delete. These policies are enforced inside PostgreSQL itself, not in application code, which means they cannot be bypassed even if someone sends a crafted request directly to the REST endpoint. Donors can only see and write their own pledge rows. NGO admins can only manage needs and pledges that belong to their own organisation. Profiles are readable by any logged-in user but writable only by the account owner. NGO records and donation needs are publicly readable so unauthenticated visitors on the web portal can browse without an account.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