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why-the-survey-list-can-fall-back"/>
    <w:p>
      <w:pPr>
        <w:pStyle w:val="Heading3"/>
      </w:pPr>
      <w:r>
        <w:t xml:space="preserve">4.2.1 Why the survey list can fall back</w:t>
      </w:r>
    </w:p>
    <w:p>
      <w:pPr>
        <w:pStyle w:val="FirstParagraph"/>
      </w:pPr>
      <w:r>
        <w:t xml:space="preserve">The portal offers the surveys named in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, matched on</w:t>
      </w:r>
      <w:r>
        <w:t xml:space="preserve"> </w:t>
      </w:r>
      <w:r>
        <w:t xml:space="preserve">name. Names are what the business configures, but they are a weak join across</w:t>
      </w:r>
      <w:r>
        <w:t xml:space="preserve"> </w:t>
      </w:r>
      <w:r>
        <w:t xml:space="preserve">instances: a migration that carries the property without the renamed survey</w:t>
      </w:r>
      <w:r>
        <w:t xml:space="preserve"> </w:t>
      </w:r>
      <w:r>
        <w:t xml:space="preserve">definitions leaves the filter matching nothing.</w:t>
      </w:r>
    </w:p>
    <w:p>
      <w:pPr>
        <w:pStyle w:val="BodyText"/>
      </w:pPr>
      <w:r>
        <w:t xml:space="preserve">That used to render an empty dropdown with nothing to explain it. Now a filter</w:t>
      </w:r>
      <w:r>
        <w:t xml:space="preserve"> </w:t>
      </w:r>
      <w:r>
        <w:t xml:space="preserve">that matches no active survey is ignored — every active survey is offered, each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outside_filter</w:t>
      </w:r>
      <w:r>
        <w:t xml:space="preserve">, and the form shows a warning naming the property. The</w:t>
      </w:r>
      <w:r>
        <w:t xml:space="preserve"> </w:t>
      </w:r>
      <w:r>
        <w:t xml:space="preserve">condition is also logged with</w:t>
      </w:r>
      <w:r>
        <w:t xml:space="preserve"> </w:t>
      </w:r>
      <w:r>
        <w:rPr>
          <w:rStyle w:val="VerbatimChar"/>
        </w:rPr>
        <w:t xml:space="preserve">gs.warn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scripts/diagnose-csat.js</w:t>
      </w:r>
      <w:r>
        <w:t xml:space="preserve"> </w:t>
      </w:r>
      <w:r>
        <w:t xml:space="preserve">reports the mismatch directly, listing the</w:t>
      </w:r>
      <w:r>
        <w:t xml:space="preserve"> </w:t>
      </w:r>
      <w:r>
        <w:t xml:space="preserve">configured names that are missing and the surveys actually present.</w:t>
      </w:r>
    </w:p>
    <w:bookmarkEnd w:id="29"/>
    <w:bookmarkEnd w:id="30"/>
    <w:bookmarkStart w:id="31" w:name="per-survey-cooldown-and-send-timing"/>
    <w:p>
      <w:pPr>
        <w:pStyle w:val="Heading2"/>
      </w:pPr>
      <w:r>
        <w:t xml:space="preserve">4.3 Per-survey cooldown and send timing</w:t>
      </w:r>
    </w:p>
    <w:p>
      <w:pPr>
        <w:pStyle w:val="FirstParagraph"/>
      </w:pPr>
      <w:r>
        <w:rPr>
          <w:bCs/>
          <w:b/>
        </w:rPr>
        <w:t xml:space="preserve">The 90-day window runs per survey.</w:t>
      </w:r>
      <w:r>
        <w:t xml:space="preserve"> </w:t>
      </w:r>
      <w:r>
        <w:rPr>
          <w:rStyle w:val="VerbatimChar"/>
        </w:rPr>
        <w:t xml:space="preserve">getCooldown(userId, metricTypeId)</w:t>
      </w:r>
      <w:r>
        <w:t xml:space="preserve"> </w:t>
      </w:r>
      <w:r>
        <w:t xml:space="preserve">filters the execution log by survey, so each survey carries its own window and</w:t>
      </w:r>
      <w:r>
        <w:t xml:space="preserve"> </w:t>
      </w:r>
      <w:r>
        <w:t xml:space="preserve">a recipient asked about a complex resolution can still receive the scheduled</w:t>
      </w:r>
      <w:r>
        <w:t xml:space="preserve"> </w:t>
      </w:r>
      <w:r>
        <w:t xml:space="preserve">relationship survey. Called without a survey it falls back to the portal-wide</w:t>
      </w:r>
      <w:r>
        <w:t xml:space="preserve"> </w:t>
      </w:r>
      <w:r>
        <w:t xml:space="preserve">behaviour, which the reporting probes still use.</w:t>
      </w:r>
    </w:p>
    <w:p>
      <w:pPr>
        <w:pStyle w:val="BodyText"/>
      </w:pPr>
      <w:r>
        <w:t xml:space="preserve">This is why the request form asks for the survey before the recipients:</w:t>
      </w:r>
      <w:r>
        <w:t xml:space="preserve"> </w:t>
      </w:r>
      <w:r>
        <w:rPr>
          <w:rStyle w:val="VerbatimChar"/>
        </w:rPr>
        <w:t xml:space="preserve">getUsersByCompany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getPrimaryContact</w:t>
      </w:r>
      <w:r>
        <w:t xml:space="preserve"> </w:t>
      </w:r>
      <w:r>
        <w:t xml:space="preserve">both take the survey, and the</w:t>
      </w:r>
      <w:r>
        <w:t xml:space="preserve"> </w:t>
      </w:r>
      <w:r>
        <w:t xml:space="preserve">widget reloads both lists whenever the company or the survey changes.</w:t>
      </w:r>
    </w:p>
    <w:p>
      <w:pPr>
        <w:pStyle w:val="BodyText"/>
      </w:pPr>
      <w:r>
        <w:rPr>
          <w:bCs/>
          <w:b/>
        </w:rPr>
        <w:t xml:space="preserve">Recipients are checkboxes.</w:t>
      </w:r>
      <w:r>
        <w:t xml:space="preserve"> </w:t>
      </w:r>
      <w:r>
        <w:rPr>
          <w:rStyle w:val="VerbatimChar"/>
        </w:rPr>
        <w:t xml:space="preserve">u_recipient_mode</w:t>
      </w:r>
      <w:r>
        <w:t xml:space="preserve"> </w:t>
      </w:r>
      <w:r>
        <w:t xml:space="preserve">gained a third choice,</w:t>
      </w:r>
      <w:r>
        <w:t xml:space="preserve"> </w:t>
      </w:r>
      <w:r>
        <w:rPr>
          <w:rStyle w:val="VerbatimChar"/>
        </w:rPr>
        <w:t xml:space="preserve">both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createSurveyRequest</w:t>
      </w:r>
      <w:r>
        <w:t xml:space="preserve"> </w:t>
      </w:r>
      <w:r>
        <w:t xml:space="preserve">merges the primary contact with the named</w:t>
      </w:r>
      <w:r>
        <w:t xml:space="preserve"> </w:t>
      </w:r>
      <w:r>
        <w:t xml:space="preserve">users, deduplicating in case the contact also appears in the list.</w:t>
      </w:r>
    </w:p>
    <w:p>
      <w:pPr>
        <w:pStyle w:val="BodyText"/>
      </w:pPr>
      <w:r>
        <w:rPr>
          <w:bCs/>
          <w:b/>
        </w:rPr>
        <w:t xml:space="preserve">Scheduled sends wait for a good moment.</w:t>
      </w:r>
      <w:r>
        <w:t xml:space="preserve"> </w:t>
      </w:r>
      <w:r>
        <w:t xml:space="preserve">Recurring sends are held to</w:t>
      </w:r>
      <w:r>
        <w:t xml:space="preserve"> </w:t>
      </w:r>
      <w:r>
        <w:t xml:space="preserve">Tue/Wed/Thu between 09:00 and 11:00 in the recipient’s local time; Monday,</w:t>
      </w:r>
      <w:r>
        <w:t xml:space="preserve"> </w:t>
      </w:r>
      <w:r>
        <w:t xml:space="preserve">Friday and the weekend are avoided. Immediate sends are never held, because the</w:t>
      </w:r>
      <w:r>
        <w:t xml:space="preserve"> </w:t>
      </w:r>
      <w:r>
        <w:t xml:space="preserve">requester is asking for them to go now.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sendWindowTimeZone(requestGr)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recipient’s timezone, falling back to the instance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isWithinSendWindow(when, 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a moment is inside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nextSendWindow(when, 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moment from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that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scheduleNextRun(requestGr, from)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the window to recurring requests only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processDueRequests</w:t>
      </w:r>
      <w:r>
        <w:t xml:space="preserve"> </w:t>
      </w:r>
      <w:r>
        <w:t xml:space="preserve">also re-checks on the way through, so a request that comes</w:t>
      </w:r>
      <w:r>
        <w:t xml:space="preserve"> </w:t>
      </w:r>
      <w:r>
        <w:t xml:space="preserve">due outside the window — because it was scheduled before this rule existed, or</w:t>
      </w:r>
      <w:r>
        <w:t xml:space="preserve"> </w:t>
      </w:r>
      <w:r>
        <w:t xml:space="preserve">the job was held up — is pushed to the next slot instead of sending.</w:t>
      </w:r>
    </w:p>
    <w:p>
      <w:pPr>
        <w:pStyle w:val="BodyText"/>
      </w:pPr>
      <w:r>
        <w:t xml:space="preserve">The scheduled job runs</w:t>
      </w:r>
      <w:r>
        <w:t xml:space="preserve"> </w:t>
      </w:r>
      <w:r>
        <w:rPr>
          <w:bCs/>
          <w:b/>
        </w:rPr>
        <w:t xml:space="preserve">hourly</w:t>
      </w:r>
      <w:r>
        <w:t xml:space="preserve"> </w:t>
      </w:r>
      <w:r>
        <w:t xml:space="preserve">rather than daily for this reason: a daily job</w:t>
      </w:r>
      <w:r>
        <w:t xml:space="preserve"> </w:t>
      </w:r>
      <w:r>
        <w:t xml:space="preserve">cannot reliably land inside a two-hour window.</w:t>
      </w:r>
    </w:p>
    <w:p>
      <w:pPr>
        <w:pStyle w:val="BlockText"/>
      </w:pPr>
      <w:r>
        <w:t xml:space="preserve">Only about 2% of user records carry a timezone, so the instance default</w:t>
      </w:r>
      <w:r>
        <w:t xml:space="preserve"> </w:t>
      </w:r>
      <w:r>
        <w:t xml:space="preserve">usually applies. Where recipients span timezones the window is judged in the</w:t>
      </w:r>
      <w:r>
        <w:t xml:space="preserve"> </w:t>
      </w:r>
      <w:r>
        <w:t xml:space="preserve">first one found, since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is a single value on the request.</w:t>
      </w:r>
    </w:p>
    <w:bookmarkEnd w:id="31"/>
    <w:bookmarkStart w:id="34" w:name="customer-facing-survey-label"/>
    <w:p>
      <w:pPr>
        <w:pStyle w:val="Heading2"/>
      </w:pPr>
      <w:r>
        <w:t xml:space="preserve">5.0 Customer-facing survey label</w:t>
      </w:r>
    </w:p>
    <w:p>
      <w:pPr>
        <w:pStyle w:val="FirstParagraph"/>
      </w:pPr>
      <w:r>
        <w:t xml:space="preserve">The survey definitions are named for internal use —</w:t>
      </w:r>
      <w:r>
        <w:t xml:space="preserve"> </w:t>
      </w:r>
      <w:r>
        <w:rPr>
          <w:bCs/>
          <w:b/>
        </w:rPr>
        <w:t xml:space="preserve">Managed Network Services</w:t>
      </w:r>
      <w:r>
        <w:rPr>
          <w:bCs/>
          <w:b/>
        </w:rPr>
        <w:t xml:space="preserve"> </w:t>
      </w:r>
      <w:r>
        <w:rPr>
          <w:bCs/>
          <w:b/>
        </w:rPr>
        <w:t xml:space="preserve">Survey - Manual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- Automatic</w:t>
      </w:r>
      <w:r>
        <w:t xml:space="preserve"> </w:t>
      </w:r>
      <w:r>
        <w:t xml:space="preserve">— and that split describes how the survey</w:t>
      </w:r>
      <w:r>
        <w:t xml:space="preserve"> </w:t>
      </w:r>
      <w:r>
        <w:t xml:space="preserve">was raised, which means nothing to a recipient. Customer-facing email therefore</w:t>
      </w:r>
      <w:r>
        <w:t xml:space="preserve"> </w:t>
      </w:r>
      <w:r>
        <w:t xml:space="preserve">uses a fixed label,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, instead of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Thank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did we do?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Submitted - Requestor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</w:t>
            </w:r>
          </w:p>
        </w:tc>
      </w:tr>
    </w:tbl>
    <w:p>
      <w:pPr>
        <w:pStyle w:val="BodyText"/>
      </w:pPr>
      <w:r>
        <w:t xml:space="preserve">The internal alert deliberately keeps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: without it a requester</w:t>
      </w:r>
      <w:r>
        <w:t xml:space="preserve"> </w:t>
      </w:r>
      <w:r>
        <w:t xml:space="preserve">cannot tell which survey a response belongs to.</w:t>
      </w:r>
    </w:p>
    <w:p>
      <w:pPr>
        <w:pStyle w:val="BodyText"/>
      </w:pPr>
      <w:r>
        <w:t xml:space="preserve">The label has to be applied in two places, because the template name reached</w:t>
      </w:r>
      <w:r>
        <w:t xml:space="preserve"> </w:t>
      </w:r>
      <w:r>
        <w:t xml:space="preserve">the email by two routes. The subject used</w:t>
      </w:r>
      <w:r>
        <w:t xml:space="preserve"> </w:t>
      </w:r>
      <w:r>
        <w:rPr>
          <w:rStyle w:val="VerbatimChar"/>
        </w:rPr>
        <w:t xml:space="preserve">${metric_type}</w:t>
      </w:r>
      <w:r>
        <w:t xml:space="preserve"> </w:t>
      </w:r>
      <w:r>
        <w:t xml:space="preserve">directly. The body</w:t>
      </w:r>
      <w:r>
        <w:t xml:space="preserve"> </w:t>
      </w:r>
      <w:r>
        <w:t xml:space="preserve">picked it up through the note, which the request form seeds — so</w:t>
      </w:r>
      <w:r>
        <w:t xml:space="preserve"> </w:t>
      </w:r>
      <w:r>
        <w:rPr>
          <w:rStyle w:val="VerbatimChar"/>
        </w:rPr>
        <w:t xml:space="preserve">applyNotesPrefix</w:t>
      </w:r>
      <w:r>
        <w:t xml:space="preserve"> </w:t>
      </w:r>
      <w:r>
        <w:t xml:space="preserve">now seeds</w:t>
      </w:r>
      <w:r>
        <w:t xml:space="preserve"> </w:t>
      </w:r>
      <w:r>
        <w:rPr>
          <w:bCs/>
          <w:b/>
        </w:rPr>
        <w:t xml:space="preserve">How did we do? -</w:t>
      </w:r>
      <w:r>
        <w:t xml:space="preserve"> </w:t>
      </w:r>
      <w:r>
        <w:t xml:space="preserve">and recognises previously</w:t>
      </w:r>
      <w:r>
        <w:t xml:space="preserve"> </w:t>
      </w:r>
      <w:r>
        <w:t xml:space="preserve">seeded template names, so switching survey never strands an old label.</w:t>
      </w:r>
    </w:p>
    <w:p>
      <w:pPr>
        <w:pStyle w:val="BodyText"/>
      </w:pPr>
      <w:r>
        <w:rPr>
          <w:rStyle w:val="VerbatimChar"/>
        </w:rPr>
        <w:t xml:space="preserve">CUSTOMER_FACING_LABEL</w:t>
      </w:r>
      <w:r>
        <w:t xml:space="preserve"> </w:t>
      </w:r>
      <w:r>
        <w:t xml:space="preserve">is defined in</w:t>
      </w:r>
      <w:r>
        <w:t xml:space="preserve"> </w:t>
      </w:r>
      <w:r>
        <w:rPr>
          <w:rStyle w:val="VerbatimChar"/>
        </w:rPr>
        <w:t xml:space="preserve">deploy-csat-email-template.js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and the request widget’s client script.</w:t>
      </w:r>
    </w:p>
    <w:bookmarkStart w:id="32" w:name="copying-the-iem-escalation-mailbox"/>
    <w:p>
      <w:pPr>
        <w:pStyle w:val="Heading3"/>
      </w:pPr>
      <w:r>
        <w:t xml:space="preserve">5.0.1 Copying the IEM escalation mailbox</w:t>
      </w:r>
    </w:p>
    <w:p>
      <w:pPr>
        <w:pStyle w:val="FirstParagraph"/>
      </w:pPr>
      <w:r>
        <w:t xml:space="preserve">Every survey invitation copies</w:t>
      </w:r>
      <w:r>
        <w:t xml:space="preserve"> </w:t>
      </w:r>
      <w:r>
        <w:rPr>
          <w:rStyle w:val="VerbatimChar"/>
        </w:rPr>
        <w:t xml:space="preserve">iem_escalation@appdirect.com</w:t>
      </w:r>
      <w:r>
        <w:t xml:space="preserve">.</w:t>
      </w:r>
    </w:p>
    <w:p>
      <w:pPr>
        <w:pStyle w:val="BodyText"/>
      </w:pPr>
      <w:r>
        <w:t xml:space="preserve">Notifications have no CC field —</w:t>
      </w:r>
      <w:r>
        <w:t xml:space="preserve"> </w:t>
      </w:r>
      <w:r>
        <w:rPr>
          <w:rStyle w:val="VerbatimChar"/>
        </w:rPr>
        <w:t xml:space="preserve">recipient_users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recipient_fields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recipient_groups</w:t>
      </w:r>
      <w:r>
        <w:t xml:space="preserve"> </w:t>
      </w:r>
      <w:r>
        <w:t xml:space="preserve">all address To — so the copy is added through the email</w:t>
      </w:r>
      <w:r>
        <w:t xml:space="preserve"> </w:t>
      </w:r>
      <w:r>
        <w:t xml:space="preserve">object from a mail script,</w:t>
      </w:r>
      <w:r>
        <w:t xml:space="preserve"> </w:t>
      </w:r>
      <w:r>
        <w:rPr>
          <w:rStyle w:val="VerbatimChar"/>
        </w:rPr>
        <w:t xml:space="preserve">csat_add_iem_cc</w:t>
      </w:r>
      <w:r>
        <w:t xml:space="preserve">, referenced in the invitation</w:t>
      </w:r>
      <w:r>
        <w:t xml:space="preserve"> </w:t>
      </w:r>
      <w:r>
        <w:t xml:space="preserve">body. It prints nothing, so the body is unchanged.</w:t>
      </w:r>
    </w:p>
    <w:p>
      <w:pPr>
        <w:pStyle w:val="BodyText"/>
      </w:pPr>
      <w:r>
        <w:t xml:space="preserve">The address is read from the</w:t>
      </w:r>
      <w:r>
        <w:t xml:space="preserve"> </w:t>
      </w:r>
      <w:r>
        <w:rPr>
          <w:rStyle w:val="VerbatimChar"/>
          <w:bCs/>
          <w:b/>
        </w:rPr>
        <w:t xml:space="preserve">csat.iem.cc_email</w:t>
      </w:r>
      <w:r>
        <w:t xml:space="preserve"> </w:t>
      </w:r>
      <w:r>
        <w:t xml:space="preserve">property rather than</w:t>
      </w:r>
      <w:r>
        <w:t xml:space="preserve"> </w:t>
      </w:r>
      <w:r>
        <w:t xml:space="preserve">hardcoded, so it can be changed, extended to several comma-separated</w:t>
      </w:r>
      <w:r>
        <w:t xml:space="preserve"> </w:t>
      </w:r>
      <w:r>
        <w:t xml:space="preserve">addresses, or emptied to switch the copy off, without a deployment. The deploy</w:t>
      </w:r>
      <w:r>
        <w:t xml:space="preserve"> </w:t>
      </w:r>
      <w:r>
        <w:t xml:space="preserve">seeds it only when absent, so a later run never overwrites what the business</w:t>
      </w:r>
      <w:r>
        <w:t xml:space="preserve"> </w:t>
      </w:r>
      <w:r>
        <w:t xml:space="preserve">has set.</w:t>
      </w:r>
    </w:p>
    <w:p>
      <w:pPr>
        <w:pStyle w:val="BodyText"/>
      </w:pPr>
      <w:r>
        <w:t xml:space="preserve">Verified on a generated message rather than in the script alone:</w:t>
      </w:r>
    </w:p>
    <w:p>
      <w:pPr>
        <w:pStyle w:val="SourceCode"/>
      </w:pPr>
      <w:r>
        <w:rPr>
          <w:rStyle w:val="VerbatimChar"/>
        </w:rPr>
        <w:t xml:space="preserve">Subject: How did we do? - we would value your feedback</w:t>
      </w:r>
      <w:r>
        <w:br/>
      </w:r>
      <w:r>
        <w:rPr>
          <w:rStyle w:val="VerbatimChar"/>
        </w:rPr>
        <w:t xml:space="preserve">To     : &lt;recipient&gt;</w:t>
      </w:r>
      <w:r>
        <w:br/>
      </w:r>
      <w:r>
        <w:rPr>
          <w:rStyle w:val="VerbatimChar"/>
        </w:rPr>
        <w:t xml:space="preserve">CC     : iem_escalation@appdirect.com</w:t>
      </w:r>
    </w:p>
    <w:p>
      <w:pPr>
        <w:pStyle w:val="BlockText"/>
      </w:pPr>
      <w:r>
        <w:t xml:space="preserve">The copy is on the invitation only. The submission thank-you and the internal</w:t>
      </w:r>
      <w:r>
        <w:t xml:space="preserve"> </w:t>
      </w:r>
      <w:r>
        <w:t xml:space="preserve">requestor alert are separate notifications and are not copied.</w:t>
      </w:r>
    </w:p>
    <w:bookmarkEnd w:id="32"/>
    <w:bookmarkStart w:id="33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7df92be72ccccf46746453bce02a0ae20219a02"/>
    <w:p>
      <w:pPr>
        <w:pStyle w:val="Heading2"/>
      </w:pPr>
      <w:r>
        <w:t xml:space="preserve">6. Portal branding and the survey landing page</w:t>
      </w:r>
    </w:p>
    <w:p>
      <w:pPr>
        <w:pStyle w:val="FirstParagraph"/>
      </w:pPr>
      <w:r>
        <w:rPr>
          <w:bCs/>
          <w:b/>
        </w:rPr>
        <w:t xml:space="preserve">Theme.</w:t>
      </w:r>
      <w:r>
        <w:t xml:space="preserve"> </w:t>
      </w:r>
      <w:r>
        <w:t xml:space="preserve">The portal is titled</w:t>
      </w:r>
      <w:r>
        <w:t xml:space="preserve"> </w:t>
      </w:r>
      <w:r>
        <w:rPr>
          <w:iCs/>
          <w:i/>
        </w:rPr>
        <w:t xml:space="preserve">Network Operations CSAT Survey</w:t>
      </w:r>
      <w:r>
        <w:t xml:space="preserve"> </w:t>
      </w:r>
      <w:r>
        <w:t xml:space="preserve">and has its own</w:t>
      </w:r>
      <w:r>
        <w:t xml:space="preserve"> </w:t>
      </w:r>
      <w:r>
        <w:t xml:space="preserve">theme of the same name, with the header set to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$navbar-inverse-bg</w:t>
      </w:r>
      <w:r>
        <w:t xml:space="preserve"> </w:t>
      </w:r>
      <w:r>
        <w:t xml:space="preserve">— the stock header renders as a Bootstrap inverse navbar,</w:t>
      </w:r>
      <w:r>
        <w:t xml:space="preserve"> </w:t>
      </w:r>
      <w:r>
        <w:t xml:space="preserve">so that variable drives its background.</w:t>
      </w:r>
    </w:p>
    <w:p>
      <w:pPr>
        <w:pStyle w:val="BodyText"/>
      </w:pPr>
      <w:r>
        <w:t xml:space="preserve">The theme is a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of whatever theme the stock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portal uses, taken at</w:t>
      </w:r>
      <w:r>
        <w:t xml:space="preserve"> </w:t>
      </w:r>
      <w:r>
        <w:t xml:space="preserve">deploy time, rather than an edit of it. The stock theme is shared with the</w:t>
      </w:r>
      <w:r>
        <w:t xml:space="preserve"> </w:t>
      </w:r>
      <w:r>
        <w:t xml:space="preserve">knowledge, Tao and configuration portals on this instance, so recolouring it</w:t>
      </w:r>
      <w:r>
        <w:t xml:space="preserve"> </w:t>
      </w:r>
      <w:r>
        <w:t xml:space="preserve">would have repainted all of them. Copying also inherits the header, footer and</w:t>
      </w:r>
      <w:r>
        <w:t xml:space="preserve"> </w:t>
      </w:r>
      <w:r>
        <w:t xml:space="preserve">typography, so only the colour differs.</w:t>
      </w:r>
    </w:p>
    <w:p>
      <w:pPr>
        <w:pStyle w:val="BodyText"/>
      </w:pPr>
      <w:r>
        <w:t xml:space="preserve">Verified in the compiled output rather than the source variables: the CSAT</w:t>
      </w:r>
      <w:r>
        <w:t xml:space="preserve"> </w:t>
      </w:r>
      <w:r>
        <w:t xml:space="preserve">portal resolves to</w:t>
      </w:r>
      <w:r>
        <w:t xml:space="preserve"> </w:t>
      </w:r>
      <w:r>
        <w:rPr>
          <w:rStyle w:val="VerbatimChar"/>
        </w:rPr>
        <w:t xml:space="preserve">.navbar-inverse { background-color: #011B58; }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is unchanged.</w:t>
      </w:r>
    </w:p>
    <w:p>
      <w:pPr>
        <w:pStyle w:val="BodyText"/>
      </w:pPr>
      <w:r>
        <w:rPr>
          <w:bCs/>
          <w:b/>
        </w:rPr>
        <w:t xml:space="preserve">Landing page.</w:t>
      </w:r>
      <w:r>
        <w:t xml:space="preserve"> </w:t>
      </w:r>
      <w:r>
        <w:t xml:space="preserve">The stock survey widget opens on an introduction screen with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button. Cloning the widget to remove it was unnecessary: the</w:t>
      </w:r>
      <w:r>
        <w:t xml:space="preserve"> </w:t>
      </w:r>
      <w:r>
        <w:t xml:space="preserve">screen is already conditional on the survey’s own</w:t>
      </w:r>
      <w:r>
        <w:t xml:space="preserve"> </w:t>
      </w:r>
      <w:r>
        <w:rPr>
          <w:bCs/>
          <w:b/>
        </w:rPr>
        <w:t xml:space="preserve">Do not show survey</w:t>
      </w:r>
      <w:r>
        <w:rPr>
          <w:bCs/>
          <w:b/>
        </w:rPr>
        <w:t xml:space="preserve"> </w:t>
      </w:r>
      <w:r>
        <w:rPr>
          <w:bCs/>
          <w:b/>
        </w:rPr>
        <w:t xml:space="preserve">introduction notes</w:t>
      </w:r>
      <w:r>
        <w:t xml:space="preserve"> </w:t>
      </w:r>
      <w:r>
        <w:t xml:space="preserve">field, which</w:t>
      </w:r>
      <w:r>
        <w:t xml:space="preserve"> </w:t>
      </w:r>
      <w:r>
        <w:rPr>
          <w:rStyle w:val="VerbatimChar"/>
        </w:rPr>
        <w:t xml:space="preserve">SPSurveyAPI.loadSurvey</w:t>
      </w:r>
      <w:r>
        <w:t xml:space="preserve"> </w:t>
      </w:r>
      <w:r>
        <w:t xml:space="preserve">passes to the widget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not_show_intro_note</w:t>
      </w:r>
      <w:r>
        <w:t xml:space="preserve">, and the widget’s controller reads:</w:t>
      </w:r>
    </w:p>
    <w:p>
      <w:pPr>
        <w:pStyle w:val="SourceCode"/>
      </w:pPr>
      <w:r>
        <w:rPr>
          <w:rStyle w:val="CommentTok"/>
        </w:rPr>
        <w:t xml:space="preserve">// Skip introduction note page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not_show_intro_note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Setting that field on the two portal surveys therefore sends recipients</w:t>
      </w:r>
      <w:r>
        <w:t xml:space="preserve"> </w:t>
      </w:r>
      <w:r>
        <w:t xml:space="preserve">straight to the first question and leaves every other survey on the instance —</w:t>
      </w:r>
      <w:r>
        <w:t xml:space="preserve"> </w:t>
      </w:r>
      <w:r>
        <w:t xml:space="preserve">including Closed Case Survey — on its existing behaviour.</w:t>
      </w:r>
      <w:r>
        <w:t xml:space="preserve"> </w:t>
      </w:r>
      <w:r>
        <w:rPr>
          <w:rStyle w:val="VerbatimChar"/>
        </w:rPr>
        <w:t xml:space="preserve">scripts/configure-survey-landing.js</w:t>
      </w:r>
      <w:r>
        <w:t xml:space="preserve"> </w:t>
      </w:r>
      <w:r>
        <w:t xml:space="preserve">applies it.</w:t>
      </w:r>
    </w:p>
    <w:p>
      <w:pPr>
        <w:pStyle w:val="BodyText"/>
      </w:pPr>
      <w:r>
        <w:t xml:space="preserve">The introduction text is left stored but unrendered, so clearing the field</w:t>
      </w:r>
      <w:r>
        <w:t xml:space="preserve"> </w:t>
      </w:r>
      <w:r>
        <w:t xml:space="preserve">restores the landing page without having to rewrite it.</w:t>
      </w:r>
    </w:p>
    <w:bookmarkEnd w:id="35"/>
    <w:bookmarkStart w:id="39" w:name="portal-widgets"/>
    <w:p>
      <w:pPr>
        <w:pStyle w:val="Heading2"/>
      </w:pPr>
      <w:r>
        <w:t xml:space="preserve">6.2 Portal widgets</w:t>
      </w:r>
    </w:p>
    <w:bookmarkStart w:id="36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6"/>
    <w:bookmarkStart w:id="37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7"/>
    <w:bookmarkStart w:id="38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port-exports"/>
    <w:p>
      <w:pPr>
        <w:pStyle w:val="Heading2"/>
      </w:pPr>
      <w:r>
        <w:t xml:space="preserve">6.3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40"/>
    <w:bookmarkStart w:id="41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41"/>
    <w:bookmarkStart w:id="43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42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44"/>
    <w:bookmarkStart w:id="45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2026-09-21T20:47:38Z</dcterms:created>
  <dcterms:modified xsi:type="dcterms:W3CDTF">2026-09-21T20:47:38Z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