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It is further informed that no representation, warranty or undertaking, express or implied is made and no responsibility is accepted by LSI Financial Services Private Limited and/or its affiliates and/or its directors, employees/officers in this report or for any direct or consequential loss arising from any use of the information, statements or forecasts in the Report. </w:t>
      </w:r>
    </w:p>
    <w:p/>
    <w:p>
      <w:r>
        <w:t>Site Visit Report</w:t>
      </w:r>
    </w:p>
    <w:p/>
    <w:p>
      <w:r>
        <w:t>Apropos the above engagement, Mr. Rudrajit Chowdhury from LSI visited the site on 23rd October’2025. Detail of site visit is provided as under:</w:t>
      </w:r>
    </w:p>
    <w:p/>
    <w:p>
      <w:r>
        <w:t>Table 1: Site Visit Report</w:t>
      </w:r>
    </w:p>
    <w:p/>
    <w:p>
      <w:r>
        <w:t>Our Comments:</w:t>
      </w:r>
    </w:p>
    <w:p>
      <w:r>
        <w:t>Based on our site visit, the project is expected to be completed by 30th June’2026, subject to the company maintains the current pace of work and balance land is acquired by December’2025.</w:t>
      </w:r>
    </w:p>
    <w:p/>
    <w:p>
      <w:r>
        <w:t>Site Visit Photographs</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