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Brief Profile of Directors is provided as under:</w:t>
      </w:r>
    </w:p>
    <w:p/>
    <w:p>
      <w:r>
        <w:t>Amarendranath Tatimakula Reddy– T.A.N. Reddy has over 25 years of experience in policy, regulatory affairs, and business development across the power and infrastructure sectors. As Director and Chief Officer – Business Regulatory, he leads the company’s engagement with policymakers and regulators, driving strategies that enable project development, compliance, and sectoral growth. He has been instrumental in shaping Sterlite’s grid and infrastructure businesses since their inception within the Vedanta Group.</w:t>
      </w:r>
    </w:p>
    <w:p/>
    <w:p>
      <w:r>
        <w:t>Lakshmi Narayan Venkat Ramanan – From VIT to Cornell University, Lakshmi Narayan Venkatramanan blends a strong technical foundation in Chemical Engineering with advanced expertise in Engineering Management &amp; Finance — a perfect mix of analytical precision and strategic acumen driving India’s renewable energy transition.</w:t>
      </w:r>
    </w:p>
    <w:p/>
    <w:p>
      <w:r>
        <w:t>Amit Ramnani - Amit Ramnani is a senior finance executive with over 20 years of experience in renewable energy, infrastructure finance, and strategic operations. At Serentica, he oversees financial strategy, project finance, procurement, and risk management across a 6 GW portfolio with a roadmap to 17 GW by FY 2030. Previously Head of Corporate Finance &amp; Treasury at Sterlite Power, he has a strong background in capital raising, M&amp;A, and governance, bridging strategic decision-making with on-ground execution in large-scale infrastructure projects.</w:t>
      </w:r>
    </w:p>
    <w:p/>
    <w:p>
      <w:r>
        <w:t>Credit Facilities and Rating</w:t>
      </w:r>
    </w:p>
    <w:p/>
    <w:p>
      <w:r>
        <w:t>Details regarding Credit Facilities and Rating is given below:</w:t>
      </w:r>
    </w:p>
    <w:p/>
    <w:p>
      <w:r>
        <w:t>Project Funding – REC Limited</w:t>
      </w:r>
    </w:p>
    <w:p/>
    <w:p>
      <w:r>
        <w:t>REC Limited (REC) vide its Sanction Letter No. REC/CO/REN/Solar/2023-24/ SRI9PL, dated 16th January’2024, had extended Term Loan facilities of Rs.2971.27 crore to the company towards financing of Greenfield Solar Power Project having capacity of 900 MWdc/ 600 MWac for Captive Consumption to be set up at Fatehgarh, Rajasthan with an envisaged SCOD of 30th June’2025.</w:t>
      </w:r>
    </w:p>
    <w:p/>
    <w:p>
      <w:r>
        <w:t>Consequent to the above, REC vide its Letter No. REC/CO/REN/2025-26/SRI9PL/92, dated 29th September’2025 based on request of the company have suitably modified the sanction to incorporate revised capacity of the project from initial 900 MWdc/ 600 MWac to 840 MWdc/ 600 MWac along with revised SCOD of 30th June’2026.</w:t>
      </w:r>
    </w:p>
    <w:p/>
    <w:p>
      <w:r>
        <w:t>A brief snapshot of the Sanctioned Terms of REC is given below:</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