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t>Past Financials of SRIPL</w:t>
      </w:r>
    </w:p>
    <w:p/>
    <w:p>
      <w:r>
        <w:t>Past Financials of SRIPL is given below:</w:t>
      </w:r>
    </w:p>
    <w:p/>
    <w:p>
      <w:r>
        <w:t>Source: Audited Balance Sheet</w:t>
      </w:r>
    </w:p>
    <w:p/>
    <w:p>
      <w:r>
        <w:t>Our Comments:</w:t>
      </w:r>
    </w:p>
    <w:p>
      <w:r>
        <w:t>Revenue from Operations: SRIPL is in the business of build, own, manage, operate and maintain hydel, solar, wind, geothermal and other renewable energy power projects. SRIPL primarily earns its Revenue from Operations by providing EPC Services and Management Fee Income. During FY25, revenue from operations increased multifold to Rs.797.14 crore from Rs.142.55 crore in FY24. The increase is mainly due to revenue booked from EPC Services amounting to Rs.637.28 crore.</w:t>
      </w:r>
    </w:p>
    <w:p>
      <w:r>
        <w:t>Other Income: Other Income earned during FY25 was Rs.78.09 crore. This primarily constitutes Interests on Bank Deposits amounting to Rs.45.46 crore and Interests on Loan given to Related Parties amounting to Rs.31.99 crore.</w:t>
      </w:r>
    </w:p>
    <w:p>
      <w:r>
        <w:t>EBIDTA: Even though Revenue from Operations of SRIPL increased from Rs.142.55 crore in FY24 to Rs.797.14 crore in FY25, EBIDTA levels dropped from being at 46.18% in FY24 to 19.62% in FY25. Primary reason attributable to drop in EBIDTA levels is increase in Employee Benefit Expenses (from Rs.33.41 crore in FY24 to Rs.67.88 crore in FY25) and increase in Other Expenses (from Rs.53.19 crore in FY24 to Rs.81.51 crore in FY25).</w:t>
      </w:r>
    </w:p>
    <w:p>
      <w:r>
        <w:t>Total Equity: Total Equity of SRIPL increased from Rs.666.21 crore to Rs.801.92 crore backed by ploughing back of profits during the year.</w:t>
      </w:r>
    </w:p>
    <w:p>
      <w:r>
        <w:t>Total Outside Liabilities (TOL): TOL of SRIPL increased from Rs.756.36 crore to Rs.2344.26 crore. This can primarily be attributed towards increase in Other Current Liabilities rising to Rs.1267.90 crore in FY25 from Rs.5.77 crore in FY24. Other Current Liabilities primarily constitutes of Rs.1239.05 crore being Advance from Customers.</w:t>
      </w:r>
    </w:p>
    <w:p>
      <w:r>
        <w:t>TOL/ TNW: TOL/ TNW of SRIPL has increased from 1.14 times in FY24 to 2.92 times in FY25 primarily due to increase in Other Current Liabilities.</w:t>
      </w:r>
    </w:p>
    <w:p>
      <w:r>
        <w:t>Current Ratio: Current Ratio of SRIPL dropped to 0.90 times in FY25 from being at 1.40 times in FY24. This is majorly due to increase in Short Term Borrowings and Other Current Liabilities.</w:t>
      </w:r>
    </w:p>
    <w:p>
      <w:r>
        <w:t>Contingent Liabilities: SRIPL does not have any Contingent Liabilities as on 31st March’2025.</w:t>
      </w:r>
    </w:p>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