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Overall Comments on Site Selection and Resource Assessment:</w:t>
      </w:r>
    </w:p>
    <w:p>
      <w:r>
        <w:t>The annual energy yield of a PV plant is significantly influenced by the site's actual solar resource and ambient temperature. For energy estimation purposes, the Solar GIS data source has been utilized.</w:t>
      </w:r>
    </w:p>
    <w:p/>
    <w:p>
      <w:r>
        <w:t>Design Review of the Project</w:t>
      </w:r>
    </w:p>
    <w:p/>
    <w:p>
      <w:r>
        <w:t>The plant’s technology philosophy centers on maximizing energy yield while maintaining high system reliability and low maintenance requirements. Each design decision is anchored in bankability, proven field performance, and lifecycle cost optimization.</w:t>
      </w:r>
    </w:p>
    <w:p/>
    <w:p>
      <w:r>
        <w:t>Solar Modules</w:t>
      </w:r>
    </w:p>
    <w:p>
      <w:r>
        <w:t>The project adopts high-efficiency monocrystalline bifacial modules with a nominal power rating of ≈ 690 Wp each, configured for 1,500 V DC operation. Bifacial gain is expected to enhance annual yield by 6–8 % compared to monofacial designs. Modules are mounted on fixed-tilt structures at 20° angle, optimizing capture for latitude ≈ 26° N. The modules conform to IEC 61215 and IEC 61730 standards, with 25-year performance warranties and ≤ 0.45 % annual degradation assumption.</w:t>
      </w:r>
    </w:p>
    <w:p/>
    <w:p>
      <w:r>
        <w:t>Mounting Structures</w:t>
      </w:r>
    </w:p>
    <w:p>
      <w:r>
        <w:t>Hot-dip-galvanized steel mounting structures are adopted with driven piles embedded to 1.8–2.2 m depth depending on soil resistance. The design accounts for wind speeds up to 180 km/h as per IS 875 (Part III). The layout follows a ground-coverage ratio (GCR) of ≈ 0.45–0.5, balancing bifacial gain and land utilization. Each module table comprises four strings of 29 modules, allowing standardized fabrication and rapid installation.</w:t>
      </w:r>
    </w:p>
    <w:p/>
    <w:p>
      <w:r>
        <w:t>Inverters and Electrical Design</w:t>
      </w:r>
    </w:p>
    <w:p>
      <w:r>
        <w:t>The project uses 188 central inverter units rated ≈ 3.3 MW each, forming the 600 MWac output. Inverters are string-connected to 33 kV transformers through combiner boxes and DC cables sized for ≤ 1.5 % voltage drop. The AC collection system comprises underground XLPE cables feeding into 33 kV switchgear at inverter stations, which aggregate at a 33/400 kV pooling substation. Reactive-power control and harmonic filtering are integrated within the inverter systems to meet grid-code compliance.</w:t>
      </w:r>
    </w:p>
    <w:p/>
    <w:p>
      <w:r>
        <w:t>SCADA and Monitoring</w:t>
      </w:r>
    </w:p>
    <w:p>
      <w:r>
        <w:t>The plant incorporates a centralized SCADA system for real-time data acquisition, remote control, and predictive maintenance. The system interfaces with inverters, transformers, and meteorological sensors through fiber-optic communication loops. Automated alarms for fault detection and performance deviation enable a data-driven O&amp;M approach. The control room at the PSS serves as the operational nerve center.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