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Design Optimization</w:t>
      </w:r>
    </w:p>
    <w:p>
      <w:r>
        <w:t>The design philosophy balances module orientation, inter-row spacing, and DC:AC ratio (≈ 1.40) to maximize yield while ensuring inverter loading is within bankable limits. Electrical losses across DC and AC networks are capped at ≤ 2.5 % overall. Component placement minimizes cable runs and facilitates parallel construction of array blocks. Engineering drawings and construction method statements follow Indian Grid Code and CEA standards.</w:t>
      </w:r>
    </w:p>
    <w:p/>
    <w:p>
      <w:r>
        <w:t>Basis the above, the technical specifications of the project is given below:</w:t>
      </w:r>
    </w:p>
    <w:p/>
    <w:p>
      <w:r>
        <w:t>Table 27: Technical Specifications of the Project</w:t>
      </w:r>
    </w:p>
    <w:p/>
    <w:p>
      <w:r>
        <w:t>Our Comments:</w:t>
      </w:r>
    </w:p>
    <w:p>
      <w:r>
        <w:t>Waaree Energies Limited (OEM for supply of Solar PV Modules) is one of India’s largest Module Manufacturer having manufacturing capacity of 15.10 GW in India and another 1.60 GW in the United States of America.</w:t>
      </w:r>
    </w:p>
    <w:p>
      <w:r>
        <w:t>Sineng Electric Co. Limited (OEM for supply of Inverters) is a global leader in power electronics, specializing in the development and production of Solar PV Inverters, energy storage inverters and Digital Power Products. Some of the clients served by Sineng are ArcelorMittal Nippon Steel India – 606 MW, Raghanesda Solar Park – 200 MW.</w:t>
      </w:r>
    </w:p>
    <w:p>
      <w:r>
        <w:t>OEMs selected for the project are of repute and well established.</w:t>
      </w:r>
    </w:p>
    <w:p/>
    <w:p>
      <w:r>
        <w:t>Off-site Transportation Requirements</w:t>
      </w:r>
    </w:p>
    <w:p/>
    <w:p>
      <w:r>
        <w:t>We were provided plant location details and based on our site we have observed no such issues in local transportation. Primary access is via the Jaisalmer–Ramgarh highway and a network of village roads capable of accommodating module and transformer transport.</w:t>
      </w:r>
    </w:p>
    <w:p/>
    <w:p>
      <w:r>
        <w:t>Energy Yield Assessment</w:t>
      </w:r>
    </w:p>
    <w:p/>
    <w:p>
      <w:r>
        <w:t>A review of the Energy Yield Assessment (EYA) based on the report as prepared by TÜV Rheinland (India) Private Limited (TÜV) along with summary of the key aspects for the proposed project is provided as under:</w:t>
      </w:r>
    </w:p>
    <w:p>
      <w:r>
        <w:t>Table 28: Solar Energy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