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present project is a cohesive integration of generation, evacuation, and operational infrastructure. The engineering approach emphasizes modularity and redundancy so that each subsystem functions independently yet contributes seamlessly to the collective grid output.</w:t>
      </w:r>
    </w:p>
    <w:p/>
    <w:p>
      <w:r>
        <w:t>Power Evacuation</w:t>
      </w:r>
    </w:p>
    <w:p/>
    <w:p>
      <w:r>
        <w:t>The project’s 600 MWac output is aggregated at the 33 kV level across distributed inverter stations. Power is then stepped up through multiple 33/400 kV transformers at the pooling substation. A double-bus GIS arrangement ensures reliability and ease of maintenance. Transmission to the interstate grid is executed through a 400 kV overhead line with twin-moose conductors designed for 50 °C ambient operation. The design minimizes transmission losses (&lt; 0.5 %) and incorporates high-speed line-protection relays with remote tripping capability to meet grid-code requirements.</w:t>
      </w:r>
    </w:p>
    <w:p/>
    <w:p>
      <w:r>
        <w:t>Transmission Line</w:t>
      </w:r>
    </w:p>
    <w:p/>
    <w:p>
      <w:r>
        <w:t>The project involves construction of 400kV having 36 towers with a Stringing Length of 12.50 kms.</w:t>
      </w:r>
    </w:p>
    <w:p/>
    <w:p>
      <w:r>
        <w:t>As per project progress as on 31st October’2025, out of the total 36 towers, Foundation of 34 towers has been completed, also ROW for 34 out of 36 towers is also in possession. Further, Erection of 18 towers is completed.</w:t>
      </w:r>
    </w:p>
    <w:p/>
    <w:p>
      <w:r>
        <w:t>Stringing of 0.05 km out of 12.50 km is completed.</w:t>
      </w:r>
    </w:p>
    <w:p/>
    <w:p>
      <w:r>
        <w:t>Internal Infrastructure</w:t>
      </w:r>
    </w:p>
    <w:p/>
    <w:p>
      <w:r>
        <w:t>The internal network comprises gravel-topped roads, storm-water channels, and cable trenches running in parallel corridors. Each array block houses its own inverter-control kiosk and ring-main-unit enclosure. Low-voltage auxiliary supply is distributed from centralized panels located near each inverter group. Foundations for electrical equipment are standardized concrete pedestals suitable for the site’s soil-bearing capacity. Every equipment pad is earthed with 50 mm² copper strips and connected to the plant-wide earthing grid, ensuring fault-current dissipation and personnel safety.</w:t>
      </w:r>
    </w:p>
    <w:p/>
    <w:p>
      <w:r>
        <w:t>Water Management &amp; Drainage Systems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