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Equity Ownership: Consumers must hold at least 26% of the company's equity, proportionate to their contracted energy, and have voting rights.</w:t>
      </w:r>
    </w:p>
    <w:p>
      <w:r>
        <w:t>Energy Offtake: Consumers must use at least 51% of their contracted energy to be classified as captive users under Indian electricity laws and regulations.</w:t>
      </w:r>
    </w:p>
    <w:p/>
    <w:p>
      <w:r>
        <w:t>By meeting these conditions, the solar power plant will be considered a Captive Generating Plant.</w:t>
      </w:r>
    </w:p>
    <w:p>
      <w:r>
        <w:t>Power Delivery Agreement</w:t>
      </w:r>
    </w:p>
    <w:p/>
    <w:p>
      <w:r>
        <w:t>Power generated from the Solar Plant will be sold to Vedanta Limited (VL) under a Power Delivery Agreement (PDA) executed on 24th March’2023 at a fixed tariff of $ Cents 3.05 per unit for a period of 25 years from the COD of the entire Contracted Capacity.</w:t>
      </w:r>
    </w:p>
    <w:p/>
    <w:p>
      <w:r>
        <w:t>Vedanta Limited is the flagship company of the Vedanta Group being headed by Mr. Anil Kumar Agarwal. Vedanta Limited has strong financials with Long-Term CRISIL AA/ Watch Developing Credit Rating.</w:t>
      </w:r>
    </w:p>
    <w:p/>
    <w:p>
      <w:r>
        <w:t>A brief summary of the Power Delivery Agreement so executed is given below:</w:t>
      </w:r>
    </w:p>
    <w:p>
      <w:r>
        <w:t>Table 32: Brief Snapshot of PDA</w:t>
      </w:r>
    </w:p>
    <w:p/>
    <w:p>
      <w:r>
        <w:t>Our Comments:</w:t>
      </w:r>
    </w:p>
    <w:p>
      <w:r>
        <w:t>Tariff for offtake of Power has been fixed in USD per unit as against standard practice across industry to be in INR per unit. Thus, carrying risk of Exchange Rate Fluctuations. As informed by the Company, it proposes to undertake Hedging Exercise to mitigate the risk.</w:t>
      </w:r>
    </w:p>
    <w:p/>
    <w:p>
      <w:r>
        <w:t>Scheduled Commissioning Date of the project has been extended till 22nd August’2026 from earlier envisaged date of 30th June’2025.</w:t>
      </w:r>
    </w:p>
    <w:p/>
    <w:p>
      <w:r>
        <w:t>As per The Electricity Rules’2005, for a power project to qualify as a ‘Captive Generating Plant’, following conditions are to be satisfied: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