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Balance terms and conditions of the Power Delivery Agreement are in line with Industry Standards.</w:t>
      </w:r>
    </w:p>
    <w:p/>
    <w:p>
      <w:r>
        <w:t>Vedanta Power Demand Analysis</w:t>
      </w:r>
    </w:p>
    <w:p/>
    <w:p>
      <w:r>
        <w:t>A summary of Vedanta Power Demand Analysis basis the Market Intelligence &amp; Analytics Report as prepared by CRISIL in July’2023 for Off-taker Evaluation of VAL for a Renewable Energy project is provided below:</w:t>
      </w:r>
    </w:p>
    <w:p/>
    <w:p>
      <w:r>
        <w:t>Table 33: Vedanta Power Demand Analysis</w:t>
      </w:r>
    </w:p>
    <w:p>
      <w:r>
        <w:t>Source: CRISIL Report, June’2022</w:t>
      </w:r>
    </w:p>
    <w:p/>
    <w:p>
      <w:r>
        <w:t>Our Comments:</w:t>
      </w:r>
    </w:p>
    <w:p>
      <w:r>
        <w:t>As construed from the above table, VAL as on July’2023 was evaluating procurement of additional ~200 MW of capacity, preferably from renewable sources, to meet growing energy demand and to comply with Renewable Purchase Obligation (RPO) requirements.</w:t>
      </w:r>
    </w:p>
    <w:p>
      <w:r>
        <w:t>Further, the RPO obligation is also to increase from being at 13.25% in 21-22 to 18.00% in 24-25.</w:t>
      </w:r>
    </w:p>
    <w:p/>
    <w:p/>
    <w:p>
      <w:r>
        <w:t>Table 34: Landed Cost of Power for VAL</w:t>
      </w:r>
    </w:p>
    <w:p>
      <w:r>
        <w:t>Source: Company Information</w:t>
      </w:r>
    </w:p>
    <w:p/>
    <w:p>
      <w:r>
        <w:t>Investment Agreement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