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The project implementation schedule has been drawn to maintain a strict time schedule:</w:t>
      </w:r>
    </w:p>
    <w:p/>
    <w:p>
      <w:r>
        <w:t>Table 40: Project Implementation Schedule</w:t>
      </w:r>
    </w:p>
    <w:p>
      <w:r>
        <w:t>Our Comments:</w:t>
      </w:r>
    </w:p>
    <w:p>
      <w:r>
        <w:t>The project at present is in its advance stages of Implementation.</w:t>
      </w:r>
    </w:p>
    <w:p>
      <w:r>
        <w:t>Almost entire land required for setting up the project is in possession of the Company, with balance land envisaged to be acquired by December’2025.</w:t>
      </w:r>
    </w:p>
    <w:p>
      <w:r>
        <w:t>Ordering for all the Items have been completed with deliveries and installation work in progress.</w:t>
      </w:r>
    </w:p>
    <w:p>
      <w:r>
        <w:t>Augmentation Infrastructure being developed by Power Grid Corporation of India Limited (PGCIL) will be completed by August’2026, thus, the Company has sufficient to complete and commission the project.</w:t>
      </w:r>
    </w:p>
    <w:p>
      <w:r>
        <w:t>SCOD for the project was originally envisaged as 30th June’2025. REC Limited (existing lender) have vide their Letter No. REC/CO/REN/2025-26/ SRI9PL/92, dated 29-09-2025 have extended the SCOD to 30th June’2026.</w:t>
      </w:r>
    </w:p>
    <w:p>
      <w:r>
        <w:t>Vedanta Limited has provided an extension to the Scheduled Commercial Date of the project till 22nd August’2026.</w:t>
      </w:r>
    </w:p>
    <w:p>
      <w:r>
        <w:t>The final COD may be documented at the time of Financial Closure.</w:t>
      </w:r>
    </w:p>
    <w:p>
      <w:r>
        <w:t>Lender(s) to the project may appoint Lenders Independent Engineer to monitor the progress of the project.</w:t>
      </w:r>
    </w:p>
    <w:p/>
    <w:p>
      <w:r>
        <w:t>Status of Approvals</w:t>
      </w:r>
    </w:p>
    <w:p/>
    <w:p>
      <w:r>
        <w:t>The current status of Statutory Approvals for the present proposal is provided hereunder:</w:t>
      </w:r>
    </w:p>
    <w:p/>
    <w:p>
      <w:r>
        <w:t>Table 41: Status of Approvals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