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However, global inventory levels and expansion plans by Indian players, driven by the Amended and Liberalized Manufacturing Policy (ALMM) and Basic Custom Duty, are expected to keep prices relatively subdued.</w:t>
      </w:r>
    </w:p>
    <w:p>
      <w:r>
        <w:t>Trend of Solar Power Tariff</w:t>
      </w:r>
    </w:p>
    <w:p/>
    <w:p>
      <w:r>
        <w:t>Solar tariffs in India have become highly competitive and achieved grid parity. This progress is attributed to advancements in technology, economies of scale, and a substantial reduction in the cost of solar cells and modules. A notable decline in solar tariffs has been observed, from INR 6.2 per kWh in Fiscal Year 2015 to INR 3.1 per kWh in Fiscal Year 2024.</w:t>
      </w:r>
    </w:p>
    <w:p/>
    <w:p/>
    <w:p>
      <w:r>
        <w:t>Source: MNRE, CareEdge Research</w:t>
      </w:r>
    </w:p>
    <w:p>
      <w:r>
        <w:t>Note: For FY22,FY23 and FY24, tariffs represent an average of projects bid during the resp. periods.</w:t>
      </w:r>
    </w:p>
    <w:p>
      <w:r>
        <w:t>Exhibit: Trend in Solar Tariff</w:t>
      </w:r>
    </w:p>
    <w:p/>
    <w:p>
      <w:r>
        <w:t>The bid tariff rates during FY23 were around Rs 2.7 - 3 per unit. Whereas in FY22, the bid tariff rates were around Rs. 2.7 per unit, which is 36% higher than FY21 primarily due to the rising equipment pricing, raw material costs, government duties, and interest rates. Despite this, the bid tariff rates remained lower than that of FY15 levels. The current tariffs in the Indian solar sector (hovering at Rs2.50 -3/kWh) have stabilised at rates about 20-30% below the cost of existing thermal power in India, and up to half the price of new coal-fired power.</w:t>
      </w:r>
    </w:p>
    <w:p/>
    <w:p>
      <w:r>
        <w:t>Table 43: Recent Bidding Trends</w:t>
      </w:r>
    </w:p>
    <w:p>
      <w:r>
        <w:t>Source: CareEdge Research Report</w:t>
      </w:r>
    </w:p>
    <w:p/>
    <w:p>
      <w:r>
        <w:t>A comparison of Tariff for other Group Captive Projects is given below:</w:t>
      </w:r>
    </w:p>
    <w:p/>
    <w:p>
      <w:r>
        <w:t>Table 44: Tariff for other Group Captive Projects</w:t>
      </w:r>
    </w:p>
    <w:p>
      <w:r>
        <w:t>Source: LSI Internal Data Library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