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project is in addition to Intra-State Transmission System Green Energy Corridor Phase-II (InSTS GEC- II), which is already under implementation in the States of Gujarat, Himachal Pradesh, Karnataka, Kerala, Rajasthan, Tamil Nadu and Uttar Pradesh for grid integration and power evacuation of approx. 20 GW of RE power and is expected to be completed by 2026. The InSTS GEC-II scheme targets addition of 10753 ckm of transmission lines and 27546 MVA capacity of substations having estimated project cost of Rs.12,031.33 crore and CFA @33%, i.e. Rs.3970.34 crore approved in December 2022.</w:t>
      </w:r>
    </w:p>
    <w:p/>
    <w:p>
      <w:r>
        <w:t>Round-the-Clock-Power (RTC) for RE projects</w:t>
      </w:r>
    </w:p>
    <w:p>
      <w:r>
        <w:t>The round-the-clock power mechanism is a bundling of power that has been bought by the government in order to overcome the issues of intermittency and low capacity utilization of transmission infrastructure. Here, the RE power is bundled with other sources and/or storage. Further, the Government is focusing towards promoting increased adoption of renewable energy and use of green hydrogen as envisaged in the National Green Hydrogen Mission, the Ministry of New and Renewable Energy is working on the modalities for promoting the use of green hydrogen in supporting round-the-clock electricity.</w:t>
      </w:r>
    </w:p>
    <w:p/>
    <w:p>
      <w:r>
        <w:t>Competitive Bidding Guidelines for Solar and Wind Projects</w:t>
      </w:r>
    </w:p>
    <w:p>
      <w:r>
        <w:t>The bidding guidelines have been issued for long-term procurement of power to promote competitive procurement from solar and wind and also to protect consumer interests. The guidelines for tariff-based competitive bidding process for procurement of power from grid-connected solar PV power projects were issued vide resolution 3rd August 2017 while the guidelines for tariff-based competitive bidding process for procurement of power from grid-connected wind power projects were issued vide resolution dated 8th Dec 2017.</w:t>
      </w:r>
    </w:p>
    <w:p/>
    <w:p>
      <w:r>
        <w:t>Waiver of ISTS Charges</w:t>
      </w:r>
    </w:p>
    <w:p>
      <w:r>
        <w:t>Ministry of Power has issued an order for an extension to the inter-state transmission system (ISTS) charges waiver on solar and wind energy projects commissioned up to 30 June 2025. Waiver of ISTS charges shall also be allowed for hydro-pumped storage plant and battery energy storage system projects to be commissioned up to 30th June 2025 following some conditions.</w:t>
      </w:r>
    </w:p>
    <w:p>
      <w:r>
        <w:t>ISTS waiver would be allowed for trading electricity generated and supplied from solar, wind, pumped hydro, and Battery Energy Storage Systems (BESS) in the green term ahead market (GTAM) till 30th June 2023 and the arrangement would be reviewed on an annual basis depending on future development in the power market.</w:t>
      </w:r>
    </w:p>
    <w:p/>
    <w:p>
      <w:r>
        <w:t>As per the notification issued by the Ministry of Power, a complete waiver of ISTS charges has been given for offshore wind power projects commissioned on or before 31st December, 2032 for a period of 25 years from the date of commissioning of the Project.</w:t>
      </w:r>
    </w:p>
    <w:p/>
    <w:p>
      <w:r>
        <w:t>Must Run Status</w:t>
      </w:r>
    </w:p>
    <w:p>
      <w:r>
        <w:t>In line with the Electricity Act 2003 and the Electricity Grid Code 2010, wind and solar power have the ‘must-run status’. The term ‘must run status’ refers to the notion that electricity evacuation from solar and wind power facilities should not be limited for reasons other than grid safety, equipment or people safety, merit order dispatch, or other commercial concerns.</w:t>
      </w:r>
    </w:p>
    <w:p>
      <w:r>
        <w:t>Government Schemes and Subsidies for Renewables</w:t>
      </w:r>
    </w:p>
    <w:p/>
    <w:p>
      <w:r>
        <w:t>For Solar Projects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