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per Chartered Accountant Certificate dated 06th November’2025, bearing UDIN - 25574308BMJBOU2769, issued by M/s. R. R. Gupta &amp; Co., an amount of Rs.510.39 crore has been incurred towards the project till 30th September’2025. Thus, out of the total envisaged Promoters Contribution of Rs.769.30 crore amount already infused towards the project is Rs.510.39 crore (being 66.34%). Balance amount of Rs.258.91 crore will be infused in due course of time.</w:t>
      </w:r>
    </w:p>
    <w:p>
      <w:r>
        <w:t>As construed from the commitment details shared by the Company, around Rs.2883 crore of funds is available with SRSPL for infusion into various projects. Thus, it will be able to bring in the requisite balance funds required for the project.</w:t>
      </w:r>
    </w:p>
    <w:p>
      <w:r>
        <w:t>The lenders may stipulate condition requiring the company to provide necessary undertaking:</w:t>
      </w:r>
    </w:p>
    <w:p>
      <w:r>
        <w:t xml:space="preserve">That the amount invested into the project till date will not be withdrawn during the pendency of the loan with the bank. </w:t>
      </w:r>
    </w:p>
    <w:p>
      <w:r>
        <w:t>Infusing the balance required contribution (including but not limited to any shortfall of funds by the off-takers/ captive users) from its own sources as well as undertake to bring funds for financing Cost overruns, if any</w:t>
      </w:r>
    </w:p>
    <w:p/>
    <w:p>
      <w:r>
        <w:t>Debt</w:t>
      </w:r>
    </w:p>
    <w:p/>
    <w:p>
      <w:r>
        <w:t>The company in the present proposal envisages to raise Term Loan of Rs.3077.21 crore. Debt for the project is proposed to be raised in INR dominated Term Loan of Rs.2461.77 crore and USD dominated Term Loan of Rs.615.44 crore.</w:t>
      </w:r>
    </w:p>
    <w:p/>
    <w:p>
      <w:r>
        <w:t>Table 54: Indicative INR dominated Terms of Debt</w:t>
      </w:r>
    </w:p>
    <w:p/>
    <w:p>
      <w:r>
        <w:t>Table 55: Indicative INR dominated Term Loan Repayment Sheet</w:t>
      </w:r>
    </w:p>
    <w:p/>
    <w:p/>
    <w:p>
      <w:r>
        <w:t>Table 56: Indicative USD dominated Terms of Debt</w:t>
      </w:r>
    </w:p>
    <w:p/>
    <w:p>
      <w:r>
        <w:t>Table 57: Indicative USD dominated Term Loan Repayment Sheet</w:t>
      </w:r>
    </w:p>
    <w:p>
      <w:r>
        <w:t>*Amount of Repayment of USD Dominated Term Loan is factored in post year-on-year exchange rate fluctuation of 3.30%.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