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For the purpose of Financial Projections, base rate of Rs.85.00 per USD has been considered. A year-on-year appreciation of 3.30% on exchange rate has been taken. Taking this into consideration USD to INR Conversion rate ranges from Rs.93.70 per USD in FY2027 to Rs.173.63 per USD till FY2046 (end of repayment of Term Loan).</w:t>
      </w:r>
    </w:p>
    <w:p/>
    <w:p>
      <w:r>
        <w:t>The Company for the purpose of USD Appreciation have considered a year-on-year rate of 3.30%. A calculation of CAGE of USD Exchange rate for the period of year 2005 to 2024 is given below:</w:t>
      </w:r>
    </w:p>
    <w:p/>
    <w:p/>
    <w:p>
      <w:r>
        <w:t>As construed from the above table, CAGR for USD Appreciation in the past 20 years has been 3.33%, against which the Company has considered a year-on-year appreciation of 3.30%. Thus, within the range.</w:t>
      </w:r>
    </w:p>
    <w:p/>
    <w:p>
      <w:r>
        <w:t>O&amp;M Expenses</w:t>
      </w:r>
    </w:p>
    <w:p>
      <w:r>
        <w:t>O&amp;M Expenses for the project is given below:</w:t>
      </w:r>
    </w:p>
    <w:p/>
    <w:p/>
    <w:p>
      <w:r>
        <w:t>Our Comments:</w:t>
      </w:r>
    </w:p>
    <w:p>
      <w:r>
        <w:t>O&amp;M Contract for the present proposal will be executed closer to commissioning of the project.</w:t>
      </w:r>
    </w:p>
    <w:p>
      <w:r>
        <w:t>The pricing of O&amp;M is in line with industry standards.</w:t>
      </w:r>
    </w:p>
    <w:p/>
    <w:p>
      <w:r>
        <w:t>Insurance Expenses</w:t>
      </w:r>
    </w:p>
    <w:p/>
    <w:p>
      <w:r>
        <w:t>Deviation Settlement Mechanism (DSM) Charges</w:t>
      </w:r>
    </w:p>
    <w:p>
      <w:r>
        <w:t>Deviation Settlement Mechanism charges, are fees or penalties applied to electricity generators and consumers who deviate from their scheduled power generation or drawal. For the purpose of Financial Projections, DSM Charges of 0.45% on Revenue has been considered.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