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ISTS Charges</w:t>
      </w:r>
    </w:p>
    <w:p>
      <w:r>
        <w:t>An ISTS Charges of Rs.0.19 per unit of Electricity Generated. Calculation for the same is given below:</w:t>
      </w:r>
    </w:p>
    <w:p/>
    <w:p>
      <w:r>
        <w:t>Our Comments:</w:t>
      </w:r>
    </w:p>
    <w:p>
      <w:r>
        <w:t>As per Power Delivery Agreement executed with Vedanta Limited (i.e., the offtaker), all the charges post Delivery Point are to be borne by the offtaker. As informed by the Company, it is in the process of applying for waiver of the same. However, on a conservative basis, 12.50% of the total transmission charges has been considered as ISTS Charges in the financial projections.</w:t>
      </w:r>
    </w:p>
    <w:p/>
    <w:p>
      <w:r>
        <w:t>Rates of Taxes</w:t>
      </w:r>
    </w:p>
    <w:p/>
    <w:p>
      <w:r>
        <w:t>Rates of Depreciation</w:t>
      </w:r>
    </w:p>
    <w:p/>
    <w:p>
      <w:r>
        <w:t>Holding Levels</w:t>
      </w:r>
    </w:p>
    <w:p/>
    <w:p>
      <w:r>
        <w:t>Rate of Interests</w:t>
      </w:r>
    </w:p>
    <w:p/>
    <w:p>
      <w:r>
        <w:t>Basis the above assumptions, financial projections for the project are drawn as under.</w:t>
      </w:r>
    </w:p>
    <w:p/>
    <w:p/>
    <w:p>
      <w:r>
        <w:t>Projected Profit &amp; Loss Account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