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
    <w:p/>
    <w:p/>
    <w:p/>
    <w:p/>
    <w:p/>
    <w:p>
      <w:r>
        <w:t>CONCLUSION &amp; QR CODE</w:t>
      </w:r>
    </w:p>
    <w:p/>
    <w:p/>
    <w:p>
      <w:r>
        <w:t>Conclusion &amp; QR Code</w:t>
      </w:r>
    </w:p>
    <w:p/>
    <w:p>
      <w:r>
        <w:t>Limitations &amp; Disclaimer</w:t>
      </w:r>
    </w:p>
    <w:p>
      <w:r>
        <w:t xml:space="preserve">We understand that any prospective operational projection is generally based on expectations of the competitive and economic environments, market dynamics, and other factors that may impact upon the future operations of the project. The assumptions used in the preparation of the projections are based on present circumstances, as to both the most likely set of conditions and the course of action the organisation is most likely to take. In arriving at the financial forecasts, key assumptions have been consistently applied during the estimation period and to the best of our knowledge no factors that may be relevant have been omitted. However, it is usually the case that some events and circumstances do not occur as expected or are not anticipated. Therefore, actual results during the forecast period may differ from that forecasted and such differences may be material.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