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53: Total Commitment of SRSPL</w:t>
        <w:tab/>
        <w:t>153</w:t>
      </w:r>
    </w:p>
    <w:p>
      <w:r>
        <w:t>Table 54: Indicative INR dominated Terms of Debt</w:t>
        <w:tab/>
        <w:t>154</w:t>
      </w:r>
    </w:p>
    <w:p>
      <w:r>
        <w:t>Table 55: Indicative INR dominated Term Loan Repayment Sheet</w:t>
        <w:tab/>
        <w:t>155</w:t>
      </w:r>
    </w:p>
    <w:p>
      <w:r>
        <w:t>Table 56: Indicative USD dominated Terms of Debt</w:t>
        <w:tab/>
        <w:t>156</w:t>
      </w:r>
    </w:p>
    <w:p>
      <w:r>
        <w:t>Table 57: Indicative USD dominated Term Loan Repayment Sheet</w:t>
        <w:tab/>
        <w:t>156</w:t>
      </w:r>
    </w:p>
    <w:p>
      <w:r>
        <w:t>Table 58: Critical Risk Factors &amp; Mitigation</w:t>
        <w:tab/>
        <w:t>158</w:t>
      </w:r>
    </w:p>
    <w:p>
      <w:r>
        <w:t>Table 59: SWOT Analysis</w:t>
        <w:tab/>
        <w:t>162</w:t>
      </w:r>
    </w:p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