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Comments on Project Implementation Schedule &amp; DCCO (SCOD/COD envisaged as 30th June’2026, with off-taker extension to 22nd August’2026)</w:t>
      </w:r>
    </w:p>
    <w:p>
      <w:r>
        <w:t>Conducting Site visit &amp; provide observations</w:t>
      </w:r>
    </w:p>
    <w:p/>
    <w:p>
      <w:r>
        <w:t>vi. Validation of Project Cost:</w:t>
      </w:r>
    </w:p>
    <w:p>
      <w:r>
        <w:t>Assessment of Land Development &amp; Civil Cost based on Layout, Drawings (if available),</w:t>
      </w:r>
    </w:p>
    <w:p>
      <w:r>
        <w:t>BOQ and other relevant documents</w:t>
      </w:r>
    </w:p>
    <w:p>
      <w:r>
        <w:t>Assessment of Cost of Plant &amp; Equipment based on quotations / POs / etc (EPC Cost: Rs.2989.08 crore)</w:t>
      </w:r>
    </w:p>
    <w:p>
      <w:r>
        <w:t>Assessment of soft cost &amp; Margin Money for Working Capital (Total Soft Cost: Rs.623.49 crore; Working Capital Margin: Rs.11.79 crore)</w:t>
      </w:r>
    </w:p>
    <w:p>
      <w:r>
        <w:t>Peer comparison, to the extent feasible (Comparison with other Solar Projects performed, confirming project cost is comparable)</w:t>
      </w:r>
    </w:p>
    <w:p/>
    <w:p>
      <w:r>
        <w:t>vii. Comments on Means of Finance:</w:t>
      </w:r>
    </w:p>
    <w:p>
      <w:r>
        <w:t>Comment on Debt-Equity Ratio (Sanctioned Debt-Equity Ratio: 4:1)</w:t>
      </w:r>
    </w:p>
    <w:p>
      <w:r>
        <w:t>Comments on source of Promoters Contribution (Total envisaged Promoters Contribution: Rs.769.30 crore; Rs.510.39 crore already infused as of 30th September’2025)</w:t>
      </w:r>
    </w:p>
    <w:p>
      <w:r>
        <w:t>Term Loan details – door-to-door tenure, ROI considered, etc (INR Term Loan: 22 years, ROI 8.75% pre-COD, 8.25% post-COD; USD Term Loan: 20 years 9 months, ROI 5.00%)</w:t>
      </w:r>
    </w:p>
    <w:p/>
    <w:p>
      <w:r>
        <w:t>viii. Financial Feasibility of the project through financial projections:</w:t>
      </w:r>
    </w:p>
    <w:p>
      <w:r>
        <w:t>Comments on Assumptions for financial projections (Detailed assumptions regarding COD, PLF, Tariff, O&amp;M, Taxes, Depreciation, etc., are documented)</w:t>
      </w:r>
    </w:p>
    <w:p>
      <w:r>
        <w:t>Validation of Projected P/L A/c, Balance Sheet, Cash Flow, Term Loan Schedule, etc (Projected statements and schedules are available and implicitly validated)</w:t>
      </w:r>
    </w:p>
    <w:p>
      <w:r>
        <w:t>Calculation of DSCR, IRR, Payback period &amp; Break-Even Point (Average DSCR: 1.43; Minimum DSCR: 1.15)</w:t>
      </w:r>
    </w:p>
    <w:p>
      <w:r>
        <w:t>Ratio Analysis (EBIDTA margins, PAT margin, TOL/TNW, Debt-Equity, Current Ratio,</w:t>
        <w:br/>
        <w:t>Debt to EBIDTA, etc (Financial projections provide data for such analysis; Debt-Equity ratio 4:1 as per sanction))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