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Other Income of Rs.3.46 crore represents Marked to Market Gain earned in terms of Hedge Contracts.</w:t>
      </w:r>
    </w:p>
    <w:p>
      <w:r>
        <w:t>During FY25, the company raised Rs.65.00 crore of Equity Share Capital by way issuance of Fresh Equity of Rs.45.00 crore and Rs.20.00 crore by way of Conversion of CCDs into equity. Further during the year, the company has issued Optionally Convertible Redeemable Preference Share Capital of Rs.75.00 crore.</w:t>
      </w:r>
    </w:p>
    <w:p>
      <w:r>
        <w:t>The company does not have any Contingent Liability as on FY25.</w:t>
      </w:r>
    </w:p>
    <w:p/>
    <w:p/>
    <w:p/>
    <w:p/>
    <w:p/>
    <w:p/>
    <w:p/>
    <w:p/>
    <w:p/>
    <w:p/>
    <w:p/>
    <w:p/>
    <w:p/>
    <w:p/>
    <w:p>
      <w:r>
        <w:t>PROMOTER GROUP DETAILS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