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t>RBI GUIDELINE</w:t>
      </w:r>
    </w:p>
    <w:p/>
    <w:p>
      <w:r>
        <w:t>RBI Guideline</w:t>
      </w:r>
    </w:p>
    <w:p/>
    <w:p>
      <w:r>
        <w:t>For the applicability of RBI Circular and Norms related to the proposed project finance, we have referred following circulars:</w:t>
      </w:r>
    </w:p>
    <w:p/>
    <w:p>
      <w:r>
        <w:t>Master Direction – Reserve Bank of India (Transfer of Loan Exposures) Directions, 2021 (RBI/DOR/2021-22/86 - DOR.STR.REC.51/21.04.048/2021-22 -dated 24th September 2021, updated on 28th December 2023).</w:t>
      </w:r>
    </w:p>
    <w:p/>
    <w:p>
      <w:r>
        <w:t>Also, due to change in project cost and loan amount, following RBI notification has been referred:</w:t>
      </w:r>
    </w:p>
    <w:p/>
    <w:p>
      <w:r>
        <w:t>Notification - RBI/2025-26/59 - DOR.STR.REC.34/21.04.048/2025-26 -dated 19th June 2025, effective from 01st October 2025.</w:t>
      </w:r>
    </w:p>
    <w:p/>
    <w:p>
      <w:r>
        <w:t>Compliance status of Master Direction – Reserve Bank of India (Transfer of Loan Exposures) Directions, 2021 dated 24th September 2021, updated on 28th December 2023: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