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17: Compliance with Master Direction of RBI (Transfer of Loan Exposures)</w:t>
      </w:r>
    </w:p>
    <w:p/>
    <w:p>
      <w:r>
        <w:t>RBI, Project Finance Directions, 2025 dated 19th June 2025 which is effective from 01st October 2025:</w:t>
      </w:r>
    </w:p>
    <w:p/>
    <w:p>
      <w:r>
        <w:t>Table 18: Compliance with Project Finance Direction of RBI</w:t>
      </w:r>
    </w:p>
    <w:p/>
    <w:p>
      <w:r>
        <w:t>Compliance Status</w:t>
      </w:r>
    </w:p>
    <w:p/>
    <w:p>
      <w:r>
        <w:t>Table 19: Compliance Status</w:t>
      </w:r>
    </w:p>
    <w:p/>
    <w:p/>
    <w:p>
      <w:r>
        <w:t>Table 20: Calculation of Cost Overrun excluding IDC</w:t>
      </w:r>
    </w:p>
    <w:p/>
    <w:p/>
    <w:p/>
    <w:p/>
    <w:p/>
    <w:p/>
    <w:p>
      <w:r>
        <w:t>PROJECT DESCRIPTION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