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Given the desert environment, the project includes an optimized rainwater-runoff design using natural slope gradients. Collection trenches direct occasional monsoon flows toward lined percolation pits, improving groundwater recharge. Water-storage reservoirs feed semi-automatic cleaning systems through HDPE pipelines, reducing tanker dependency.</w:t>
      </w:r>
    </w:p>
    <w:p/>
    <w:p>
      <w:r>
        <w:t>Communication and Control Infrastructure</w:t>
      </w:r>
    </w:p>
    <w:p/>
    <w:p>
      <w:r>
        <w:t>The SCADA backbone uses a hybrid fiber-optic and wireless communication system. Each inverter station is connected to the central control room via redundant loops to prevent single-point failure. The command center also interfaces with the transmission-utility control hub, allowing remote monitoring of power quality, reactive-power exchange, and frequency variation.</w:t>
      </w:r>
    </w:p>
    <w:p/>
    <w:p>
      <w:r>
        <w:t>Overall Comments on Project Infrastructure Integration:</w:t>
      </w:r>
    </w:p>
    <w:p>
      <w:r>
        <w:t>Collectively, the infrastructure demonstrates a well-balanced fusion of technical precision and operational flexibility—key indicators of long-term feasibility for utility-scale plants.</w:t>
      </w:r>
    </w:p>
    <w:p/>
    <w:p>
      <w:r>
        <w:t>Power Offtake</w:t>
      </w:r>
    </w:p>
    <w:p/>
    <w:p>
      <w:r>
        <w:t xml:space="preserve">The company in the present proposal envisages to sell power generated from the solar plant under a Captive/ Group Captive Open Access model by executing a Power Purchase Agreement. </w:t>
      </w:r>
    </w:p>
    <w:p/>
    <w:p>
      <w:r>
        <w:t>The captive/group open access model for the sale of power generated by solar power plants in India allows companies to generate electricity and use it for their own consumption or supply to a group of users. Here's a summary of the key aspects of this model:</w:t>
      </w:r>
    </w:p>
    <w:p/>
    <w:p>
      <w:r>
        <w:t>Table 31: Captive/ Group Open Access Model</w:t>
      </w:r>
    </w:p>
    <w:p/>
    <w:p>
      <w:r>
        <w:t>The company in the present proposal plans to generate solar power and sell it to industrial and commercial consumers through a Captive/Group Captive Open Access Power Purchase Agreement (PPA).</w:t>
      </w:r>
    </w:p>
    <w:p/>
    <w:p>
      <w:r>
        <w:t>To qualify for this arrangement, the Electricity Act 2003 requires:</w:t>
        <w:br/>
        <w:t>1. Equity Ownership: Consumers must hold at least 26% of the company's equity, proportionate to their contracted energy, and have voting rights.</w:t>
        <w:br/>
        <w:t>2. Energy Offtake: Consumers must use at least 51% of their contracted energy to be classified as captive users under Indian electricity laws and regulations.</w:t>
        <w:br/>
        <w:br/>
        <w:t>By meeting these conditions, the solar power plant will be considered a Captive Generating Plant.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