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 less than twenty six percent of the ownership is held by the captive user (s), and</w:t>
      </w:r>
    </w:p>
    <w:p>
      <w:r>
        <w:t>not less than fifty one percent of the aggregate electricity generated in such plant, determined on an annual basis, is consumed for the captive use:</w:t>
      </w:r>
    </w:p>
    <w:p/>
    <w:p>
      <w:r>
        <w:t>Further, ‘Ownership’ has been defined to mean as “in relation to a generating station or power plant set up by a company or any other body corporate shall mean the equity share capital with voting rights. In other cases ownership shall mean proprietary interest and control over the generating station or power plant”.</w:t>
      </w:r>
    </w:p>
    <w:p/>
    <w:p>
      <w:r>
        <w:t>In the present proposal, the Company is setting up a 600 MWac Solar Power Plant and have for offtake of the same entered into a Power Delivery Agreement with Vedanta Limited for the entire capacity. Thus, fulfilling condition no. (ii) as mentioned above.</w:t>
      </w:r>
    </w:p>
    <w:p/>
    <w:p>
      <w:r>
        <w:t>At present, Vedanta Limited, i.e., the offtaker has subscribed to Optionally Convertible Redeemable Preference Shares (OCRPS) having an aggregate value of Rs.125.00 crore, which is not Equity Share Capital and also does not qualify for voting rights. Thus, condition no. (i) as mentioned is yet to be satisfied.</w:t>
      </w:r>
    </w:p>
    <w:p/>
    <w:p>
      <w:r>
        <w:t>“The Company in relation to satisfaction of the conditions mentioned in The Electricity Rules’2005 have replied as under:</w:t>
      </w:r>
    </w:p>
    <w:p/>
    <w:p>
      <w:r>
        <w:t>The project financing involves an equity contribution from the offtaker (VL), in the form of Optionally Convertible Redeemable Preference Shares (OCRPS) at the initial stage of the project. This approach is being utilized specifically to manage the shareholder structure and ensure the Serentica group maintains its strategic 51% ownership stake in the project company, as the guidelines, offtaker need to be infuse 26% equity into the project and same will be checked at the time of COD and basis that approach the conversion of OCRPS into Pure Equity will be done near to commissioning of the project.</w:t>
      </w:r>
    </w:p>
    <w:p/>
    <w:p>
      <w:r>
        <w:t>(a) Conversion near to COD: The OCRPS will be converted into common equity upon the Commercial Operation Date (COD). This timing will finalize the required shareholding percentages.</w:t>
      </w:r>
    </w:p>
    <w:p/>
    <w:p>
      <w:r>
        <w:t>(b) Addressing Project Cost Volatility: Waiting until COD for the final conversion provides a crucial advantage in handling capital variations. Given the potential for both cost savings and cost overruns during the construction phase, fixing the equity structure prematurely would make it difficult for the project company to manage the resulting need to refund or reallocate equity capital.</w:t>
      </w:r>
    </w:p>
    <w:p>
      <w:r>
        <w:t xml:space="preserve"> </w:t>
      </w:r>
    </w:p>
    <w:p>
      <w:r>
        <w:t>Basis above, at the time of Commissioning of the project, 26% infusion from offtaker will get complied along with the majority shareholding will be with the Serentica only.”</w:t>
      </w:r>
    </w:p>
    <w:p/>
    <w:p>
      <w:r>
        <w:t>Thus, in relation to the above, the Company proposes to comply with The Electricity Rules’2005 prior to Commissioning of the Project. Lender(s) to the project to obtain Conversion Certificate from the Company stating that the offtaker has complied with holding minimum 26% Equity Shareholding along with Voting Rights in the Company before Commissioning of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