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Challenges of Solar Power Plant</w:t>
      </w:r>
    </w:p>
    <w:p/>
    <w:p>
      <w:r>
        <w:t>Although installation of Solar Power Plant is on the rise and is the need of the hour, there are some challenges too, some of the challenges are detailed as below:</w:t>
      </w:r>
    </w:p>
    <w:p/>
    <w:p>
      <w:r>
        <w:t>Table 45: Challenges of Solar Power Plant</w:t>
      </w:r>
    </w:p>
    <w:p/>
    <w:p>
      <w:r>
        <w:t>Government Schemes and Subsidies for Renewables</w:t>
      </w:r>
    </w:p>
    <w:p/>
    <w:p>
      <w:r>
        <w:t>As part of its Nationally Determined Contribution (NDC) to the Paris Agreement obligations, the government stated that by 2030, reduction of the emissions intensity of GDP by 45% below 2005 levels, and raise the percentage of non-fossil fuels in total capacity to 50% and increase the share of non-fossil power capacity to 50%. Hence the government has pushed towards renewable capacity additions through policy initiatives like JNNSM, obligations of RPO, setting up of SECI, etc.</w:t>
      </w:r>
    </w:p>
    <w:p/>
    <w:p>
      <w:r>
        <w:t>Under Section 86(1) (e) of the Electricity Act 2003 and the National Tariff Policy 2006, Renewable Purchase Obligation (RPO), is a mechanism by which the obligated entities are obliged to purchase a certain percentage of electricity from renewable energy sources, as a percentage of the total consumption of electricity or buy, in lieu of that, renewable energy certificates (REC) from the market.</w:t>
      </w:r>
    </w:p>
    <w:p/>
    <w:p>
      <w:r>
        <w:t>RPOs were earlier categorized as solar and non-solar RPOs. However, as per the latest targets, RPOs are categorized as Wind RPO, Hydro RPO, Distributed RPO and Others. Obligated entities (which include distribution companies (or DISCOMs), open access consumers and captive power producers) are obligated to purchase a minimum share of their electricity from renewable energy sources as per RPO targets. The RPO target set for FY18 was 14.25% which was gradually increased to 43.33% for FY30.</w:t>
      </w:r>
    </w:p>
    <w:p/>
    <w:p>
      <w:r>
        <w:t>Green Energy Corridor</w:t>
      </w:r>
    </w:p>
    <w:p>
      <w:r>
        <w:t>The Green Energy Corridor scheme was launched in 2015 for the setting up of transmission and evacuation infrastructure to facilitate the evacuation of electricity from renewable energy projects. The Intra state transmission system (ISTS) projects have been sanctioned to eight renewable energy states, i.e., Tamil Nadu, Rajasthan, Karnataka, Andhra Pradesh, Maharashtra, Gujarat, Himachal Pradesh, and Madhya Pradesh for evacuation of over 20,000 MW of renewable energy.</w:t>
      </w:r>
    </w:p>
    <w:p/>
    <w:p>
      <w:r>
        <w:t>As of October, 2023, the project on Green Energy Corridor (GEC) Phase-II – Inter-State Transmission System (ISTS) for 13 GW Renewable Energy Project in Ladakh was approved. The project is targeted to be set up by FY 2029-30 with total estimated cost of Rs.20,773.70 crore and Central Financial Assistance (CFA) @ 40 percent of the project cost i.e. Rs.8,309.48 crore.</w:t>
        <w:br/>
        <w:br/>
        <w:t>This project is in addition to Intra-State Transmission System Green Energy Corridor Phase-II (InSTS GEC- II), which is already under implementation in the States of Gujarat, Himachal Pradesh, Karnataka, Kerala, Rajasthan, Tamil Nadu and Uttar Pradesh for grid integration and power evacuation of approx. 20 GW of RE power and is expected to be completed by 2026. The InSTS GEC-II scheme targets addition of 10753 ckm of transmission lines and 27546 MVA capacity of substations having estimated project cost of Rs.12,031.33 crore and CFA @33%, i.e. Rs.3970.34 crore approved in December 2022.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