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REVIEW OF THE COST OF THE PROJECT</w:t>
      </w:r>
    </w:p>
    <w:p/>
    <w:p/>
    <w:p/>
    <w:p/>
    <w:p/>
    <w:p/>
    <w:p/>
    <w:p/>
    <w:p>
      <w:r>
        <w:t>Review of the Cost of the Project</w:t>
      </w:r>
    </w:p>
    <w:p/>
    <w:p>
      <w:r>
        <w:t>Cost estimation provides a vital input to the economic and financial evaluation of the Project. LSI has reviewed the cost estimates as provided by the company. The Project is estimated to be set up at a cost of Rs.3846.51 crore. Components of the same is detailed as under:</w:t>
      </w:r>
    </w:p>
    <w:p/>
    <w:p>
      <w:r>
        <w:t>Table 47: Components of Project Cost</w:t>
      </w:r>
    </w:p>
    <w:p/>
    <w:p>
      <w:r>
        <w:t>Cost of Land</w:t>
      </w:r>
    </w:p>
    <w:p/>
    <w:p>
      <w:r>
        <w:t>Cost of Land for the proposed project is envisaged at Rs.70.00 crore. Land acquisition is in a mix of leasehold basis (both Private and Government) along with outright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