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FINANCIALS</w:t>
      </w:r>
    </w:p>
    <w:p/>
    <w:p>
      <w:r>
        <w:t>Financial Assumptions</w:t>
      </w:r>
    </w:p>
    <w:p/>
    <w:p>
      <w:r>
        <w:t>COD for the project has been envisaged as 30th June’2026.</w:t>
      </w:r>
    </w:p>
    <w:p/>
    <w:p>
      <w:r>
        <w:t>Note:</w:t>
      </w:r>
    </w:p>
    <w:p>
      <w:r>
        <w:t>Scheduled Commissioning Date of the project has been extended till 22nd August’2026 from earlier envisaged date of 30th June’2025 by the offtaker (i.e., Vedanta Limited).</w:t>
      </w:r>
    </w:p>
    <w:p/>
    <w:p>
      <w:r>
        <w:t>PLF of the project</w:t>
      </w:r>
    </w:p>
    <w:p/>
    <w:p>
      <w:r>
        <w:t>Our Comments:</w:t>
      </w:r>
    </w:p>
    <w:p>
      <w:r>
        <w:t>PLF: PLF for the Project is based on PVsyst Report shared with us.</w:t>
      </w:r>
    </w:p>
    <w:p>
      <w:r>
        <w:t>Annual Degradation: Annual Degradation of 0.42% has been considered based for the project.</w:t>
      </w:r>
    </w:p>
    <w:p/>
    <w:p>
      <w:r>
        <w:t>Tariff Rates</w:t>
      </w:r>
    </w:p>
    <w:p>
      <w:r>
        <w:t>The company for offtake of power generated from the project have executed a Power Delivery Agreement (PDA) with Vedanta Limited for a period of 25 years at a fixed tariff of $ Cents 3.05 per unit.</w:t>
      </w:r>
    </w:p>
    <w:p/>
    <w:p>
      <w:r>
        <w:t>Our Comments: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