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ISTS Charges</w:t>
      </w:r>
    </w:p>
    <w:p>
      <w:r>
        <w:t>An ISTS Charges of Rs.0.19 per unit of Electricity Generated. Calculation for the same is given below:</w:t>
        <w:br/>
        <w:t>Particulars Units VAL, OD</w:t>
        <w:br/>
        <w:t>PPA CUF 28.5%</w:t>
        <w:br/>
        <w:t>SPV Name SRIPL 9</w:t>
        <w:br/>
        <w:t>ISTS PoC charges for allocation to States ₹ Cr. /month 68.30</w:t>
        <w:br/>
        <w:t>LTA Quantum of State MW 2,158</w:t>
        <w:br/>
        <w:t>POC Withdrawal Charges payable ₹L/MW/ month 3.16</w:t>
        <w:br/>
        <w:t>POC Withdrawal Charges payable ₹L/MW/ year 38</w:t>
        <w:br/>
        <w:t>Contracted Capacity MW 600</w:t>
        <w:br/>
        <w:t>Monthly PoC charge applicable to customer for delay in operationalisation of connectivity ₹ Cr /month 18.98</w:t>
        <w:br/>
        <w:t>Annual RE Generation as per external EYA report MU 1,496</w:t>
        <w:br/>
        <w:t>LTOA PoC Charges ₹/unit 1.52</w:t>
        <w:br/>
        <w:t>12.50% of Transmission Charges ₹/unit 0.19</w:t>
      </w:r>
    </w:p>
    <w:p/>
    <w:p>
      <w:r>
        <w:t>Our Comments:</w:t>
      </w:r>
    </w:p>
    <w:p>
      <w:r>
        <w:t>As per Power Delivery Agreement executed with Vedanta Limited (i.e., the offtaker), all the charges post Delivery Point are to be borne by the offtaker. As informed by the Company, it is in the process of applying for waiver of the same. However, on a conservative basis, 12.50% of the total transmission charges has been considered as ISTS Charges in the financial projections.</w:t>
      </w:r>
    </w:p>
    <w:p/>
    <w:p>
      <w:r>
        <w:t>Rates of Taxes</w:t>
        <w:br/>
        <w:t>Particulars Unit Details</w:t>
        <w:br/>
        <w:t>Basic Tax Rate %age 22.00%</w:t>
        <w:br/>
        <w:t>Add: Surcharge %age 10.00%</w:t>
        <w:br/>
        <w:t>Sub-Total %age 24.20%</w:t>
        <w:br/>
        <w:t>Add: Cess %age 4.00%</w:t>
        <w:br/>
        <w:t>Effective Tax Rate %age 25.17%</w:t>
      </w:r>
    </w:p>
    <w:p/>
    <w:p>
      <w:r>
        <w:t>Rates of Depreciation</w:t>
        <w:br/>
        <w:t>Particulars As per Companies Act As per IT Act</w:t>
        <w:br/>
        <w:t>Property, Plant &amp; Equipment 4.32% 40.00%</w:t>
      </w:r>
    </w:p>
    <w:p/>
    <w:p>
      <w:r>
        <w:t>Holding Levels</w:t>
        <w:br/>
        <w:t>Particulars Unit Details</w:t>
        <w:br/>
        <w:t>Trade Receivables Months 2.00</w:t>
        <w:br/>
        <w:t>Trade Payables Months 1.00</w:t>
      </w:r>
    </w:p>
    <w:p/>
    <w:p>
      <w:r>
        <w:t>Rate of Interests</w:t>
        <w:br/>
        <w:t>Particulars Unit Details</w:t>
        <w:br/>
        <w:t>ROI on Term Loan till COD on Rupee Term Loan %age 8.75%</w:t>
        <w:br/>
        <w:t>ROI on Term Loan post COD on Rupee Term Loan %age 8.25%</w:t>
        <w:br/>
        <w:t>ROI on USD Term Loan for the entire tenor %age 5.00%</w:t>
        <w:br/>
        <w:t>Interest on DSRA %age 5.00%</w:t>
      </w:r>
    </w:p>
    <w:p/>
    <w:p>
      <w:r>
        <w:t>Basis the above assumptions, financial projections for the project are drawn as under.</w:t>
      </w:r>
    </w:p>
    <w:p/>
    <w:p/>
    <w:p>
      <w:r>
        <w:t>Projected Profit &amp; Loss Account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