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Projected Balance Sheet</w:t>
      </w:r>
    </w:p>
    <w:p>
      <w:r>
        <w:t xml:space="preserve"> </w:t>
      </w:r>
    </w:p>
    <w:p>
      <w:r>
        <w:t>Projected Cash Flow Statement</w:t>
      </w:r>
    </w:p>
    <w:p/>
    <w:p/>
    <w:p/>
    <w:p>
      <w:r>
        <w:t>Projected DSCR</w:t>
      </w:r>
    </w:p>
    <w:p/>
    <w:p/>
    <w:p/>
    <w:p>
      <w:r>
        <w:t>Levelized Cost of Electricity</w:t>
      </w:r>
    </w:p>
    <w:p/>
    <w:p/>
    <w:p>
      <w:r>
        <w:t>Sensitivity Analysis</w:t>
      </w:r>
    </w:p>
    <w:p/>
    <w:p/>
    <w:p>
      <w:r>
        <w:t>Our Comments:</w:t>
      </w:r>
    </w:p>
    <w:p>
      <w:r>
        <w:t>As seen from the above table, the company would be able to serve its debt obligations in all the adverse situation. Further, cushion is also available to the lender(s) in the form DSRA built in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