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
    <w:p>
      <w:r>
        <w:t>CONCLUSION &amp; QR CODE</w:t>
      </w:r>
    </w:p>
    <w:p/>
    <w:p/>
    <w:p>
      <w:r>
        <w:t>Conclusion &amp; QR Code</w:t>
      </w:r>
    </w:p>
    <w:p/>
    <w:p>
      <w:r>
        <w:t>Limitations &amp; Disclaimer</w:t>
      </w:r>
    </w:p>
    <w:p>
      <w:r>
        <w:t xml:space="preserve">We understand that any prospective operational projection is generally based on expectations of the competitive and economic environments, market dynamics, and other factors that may impact upon the future operations of the project. The assumptions used in the preparation of the projections are based on present circumstances, as to both the most likely set of conditions and the course of action the organisation is most likely to take. In arriving at the financial forecasts, key assumptions have been consistently applied during the estimation period and to the best of our knowledge no factors that may be relevant have been omitted. However, it is usually the case that some events and circumstances do not occur as expected or are not anticipated. Therefore, actual results during the forecast period may differ from that forecasted and such differences may be material. </w:t>
        <w:br/>
        <w:t>We have not verified legal issues pertaining to land, any encumbrances, or statutory issues, if any. We have also not verified legal cases filed by/against the company and its implication on its viability. Banks/Lenders may take note of the same at their end and may stipulate suitable pre/post disbursement conditions to safeguard their interests for recovery of dues and/or timely servicing of loan instalments and interest by the company in future.</w:t>
        <w:br/>
        <w:t>Important Findings and our Observations</w:t>
        <w:br/>
        <w:t>Based on analysis and assessments in the preceding chapters, the proposed project of Serentica Renewables India 9 Private Limited may be considered to be Technically Feasible and Financially Viable, subject to fulfilment of the underlying basis and assumptions outlined in the previous section(s) of this report.</w:t>
        <w:br/>
        <w:t>Considering the projected financial performances which are based on the various assumptions, the company is expected to meet its debt serving obligations towards the project while generating adequate returns well in excess of the cost of borrowing. This is however, subject to the company achieving the projections within the time frame as cited in projections.</w:t>
        <w:br/>
        <w:br/>
        <w:t>Technical Inputs by: Mr Nilanjan Sen</w:t>
        <w:br/>
        <w:br/>
        <w:t>Prepared by: Mr. Rahul Begwani</w:t>
        <w:br/>
        <w:br/>
        <w:t>Date: 24-11-2025</w:t>
        <w:br/>
        <w:br/>
        <w:t>Place: Kolkata</w:t>
        <w:br/>
        <w:br/>
        <w:t>For LSI Financial Services Private Limited</w:t>
        <w:br/>
        <w:br/>
        <w:t>Authorized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