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have not verified legal issues pertaining to land, any encumbrances, or statutory issues, if any. We have also not verified legal cases filed by/against the company and its implication on its viability. Banks/Lenders may take note of the same at their end and may stipulate suitable pre/post disbursement conditions to safeguard their interests for recovery of dues and/or timely servicing of loan instalments and interest by the company in future.</w:t>
      </w:r>
    </w:p>
    <w:p>
      <w:r>
        <w:t>Important Findings and our Observations</w:t>
      </w:r>
    </w:p>
    <w:p>
      <w:r>
        <w:t>Based on analysis and assessments in the preceding chapters, the proposed project of Serentica Renewables India 9 Private Limited may be considered to be Technically Feasible and Financially Viable, subject to fulfilment of the underlying basis and assumptions considered for drawing financial projections and critical project success factors as noted in the previous section(s) of this report.</w:t>
      </w:r>
    </w:p>
    <w:p>
      <w:r>
        <w:t>Considering the projected financial performances which are based on the various assumptions, the company is expected to meet its debt serving obligations towards the project while generating adequate returns well in excess of the cost of borrowing. This is however, subject to the company achieving the projections within the time frame as cited in projections.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