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06FCF"/>
          <w:sz w:val="17"/>
          <w:szCs w:val="17"/>
        </w:rPr>
        <w:t xml:space="preserve">AMEX CAMPUS CHALLENGE 2026  ·  ROUND 1  ·  FINAL REPORT</w:t>
      </w:r>
    </w:p>
    <w:p>
      <w:pPr>
        <w:pBdr>
          <w:bottom w:val="single" w:color="0B2E5C" w:sz="14" w:space="8"/>
        </w:pBdr>
        <w:spacing w:after="0" w:before="60"/>
      </w:pPr>
      <w:r>
        <w:rPr>
          <w:rFonts w:ascii="Calibri" w:cs="Calibri" w:eastAsia="Calibri" w:hAnsi="Calibri"/>
          <w:b/>
          <w:bCs/>
          <w:color w:val="0B2E5C"/>
          <w:sz w:val="40"/>
          <w:szCs w:val="40"/>
        </w:rPr>
        <w:t xml:space="preserve">BAEP — Breakage-Adjusted Economic Profit</w:t>
      </w:r>
    </w:p>
    <w:p>
      <w:pPr>
        <w:spacing w:after="60" w:before="140"/>
      </w:pPr>
      <w:r>
        <w:rPr>
          <w:rFonts w:ascii="Calibri" w:cs="Calibri" w:eastAsia="Calibri" w:hAnsi="Calibri"/>
          <w:i/>
          <w:iCs/>
          <w:color w:val="5B6570"/>
          <w:sz w:val="21"/>
          <w:szCs w:val="21"/>
        </w:rPr>
        <w:t xml:space="preserve">Ranking 500,000 Premier cardmembers by economic profit to the issuer — one closed-form, fully auditable equation with no coefficient fitted to leaderboard feedback.</w:t>
      </w:r>
    </w:p>
    <w:tbl>
      <w:tblPr>
        <w:tblW w:type="dxa" w:w="9360"/>
        <w:tblBorders>
          <w:top w:val="none"/>
          <w:left w:val="single" w:color="006FC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22"/>
                <w:szCs w:val="22"/>
              </w:rPr>
              <w:t xml:space="preserve">Executive summary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BAEP scores each member by economic profit — accounting margin charged for the balance-sheet risk it rides on — rather than accounting profit. A single closed-form equation is applied identically to all 500,000 members; every coefficient traces to a public benchmark (Amex 10-K, Basel IRB, the Premier product sheet), and none is tuned to the leaderboard.</w:t>
            </w:r>
          </w:p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model scores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0.92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on the top-20% overlap metric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zero leaderboard information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baked in — so public and private scores should agree up to sampling noise, and every parameter survives a "why that value?" question under integrity review.</w:t>
            </w:r>
          </w:p>
        </w:tc>
      </w:tr>
    </w:tbl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The problem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 500,000 Premier cardmembers by profitability to the issuer. The submission is a per-member score; the evaluation metric is the overlap between the predicted top 20% (100,000 rows) and the hidden true top 20%, split 70/30 public/private. Solutions must be a scalable real-world equation and are subject to an integrity review.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Approach: rank by economic profit, not accounting profit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members with equal margin are not equally valuable if one carries a large risky revolving balance and the other is a capital-light transactor: the first consumes expected loss and regulatory capital that the second does not. Ranking by economic profit taxes that difference explicitly — which is how an issuer actually prioritises a portfolio. The score is therefore a member-level economic-profit statement: revenue net of rewards liability, credit loss, the cost of the capital exposure consumes, and direct servicing costs.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The model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member receives an annual-USD economic-profit score from the single equation below. It is closed-form, deterministic, and applied without exception across the book.</w:t>
      </w:r>
    </w:p>
    <w:p>
      <w:pPr>
        <w:pBdr>
          <w:top w:val="single" w:color="C9D3DF" w:sz="4" w:space="4"/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EconomicProfit =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  0.023*(f6+f7+f8+f9+f10)                     discount revenue (avg discount rate 2.3%)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+ 0.17*f1*(1 - f11)                           net interest on the PERFORMING balance only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+ 575*f20 + 175*f19                           fee income (card mid-band + supplementary)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- 0.011 * rho_i * (5*(f6+f9) + (f7+f8+f10))   breakage-adjusted rewards liability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- (35*f13 + f14 + 15*f15 + f16)               benefit / statement-credit costs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- 0.85 * f11 * EAD                            expected loss (PD x LGD x exposure)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- 0.0096 * EAD                                economic-capital charge (12% hurdle x 8% ratio)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- 140*f2 - 620*f3                             retention + collections cost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</w:t>
      </w:r>
    </w:p>
    <w:p>
      <w:pPr>
        <w:pBdr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EAD   = f1 + 0.40*max(f17 - f1, 0)            drawn balance + 40% CCF on undrawn line</w:t>
      </w:r>
    </w:p>
    <w:p>
      <w:pPr>
        <w:pBdr>
          <w:bottom w:val="single" w:color="C9D3DF" w:sz="4" w:space="4"/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  rho_i = w*clip(f21/earned,0,1.2) + (1-w)*rho_bar,   w = earned/(earned + 50000)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Coefficients are sourced, not fitted: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discount rate 2.3% (Amex reported average); net interest 17% (premium APR net of funding), booked only on the performing fraction 1−f11; point value 1.1¢ within the product's 1–2¢ band; fees at the published Premier bands; LGD 85% (unsecured consumer); CCF 40% on undrawn commitments; capital charge = 8% capital ratio × 12% hurdle; retention $140/call and collections $620/event from servicing benchmarks.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Two mechanisms that distinguish this from a linear P&amp;L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B2E5C"/>
          <w:sz w:val="22"/>
          <w:szCs w:val="22"/>
        </w:rPr>
        <w:t xml:space="preserve">(a) Breakage-adjusted rewards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Points earned are not points paid for — members let a share expire. Rewards are costed at each member's own redemption propensity rho_i, derived from f21 ÷ points earned and credibility-smoothed toward the population mean (rho_bar = 0.452) with constant K = 50,000 points, so thin-history members are not assigned extreme ratios. Two identical spenders differ in cost if one banks points and one redeems fully — mirroring points-liability accounting.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B2E5C"/>
          <w:sz w:val="22"/>
          <w:szCs w:val="22"/>
        </w:rPr>
        <w:t xml:space="preserve">(b) Basel-style exposure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lend line f17 enters as risk, not revenue. Exposure at default applies a 40% credit-conversion factor to the undrawn portion (f17 − f1): a large committed line to a risky member destroys value before a dollar is drawn. Expected loss is PD (f11) × LGD (85%) × EAD, and an economic-capital charge taxes the capital that exposure consumes.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5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Feature treatment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retained feature maps to exactly one issuer P&amp;L lever; features that are decoys, duplicates, stocks, or pure engagement counters are excluded.</w:t>
      </w:r>
    </w:p>
    <w:tbl>
      <w:tblPr>
        <w:tblW w:type="dxa" w:w="9360"/>
        <w:tblBorders>
          <w:top w:val="single" w:color="C9D3DF" w:sz="2"/>
          <w:left w:val="none"/>
          <w:bottom w:val="single" w:color="C9D3DF" w:sz="2"/>
          <w:right w:val="none"/>
          <w:insideH w:val="single" w:color="C9D3DF" w:sz="2"/>
          <w:insideV w:val="none"/>
        </w:tblBorders>
      </w:tblPr>
      <w:tblGrid>
        <w:gridCol w:w="1920"/>
        <w:gridCol w:w="7440"/>
      </w:tblGrid>
      <w:tr>
        <w:trPr>
          <w:tblHeader/>
        </w:trPr>
        <w:tc>
          <w:tcPr>
            <w:tcW w:type="dxa" w:w="1920"/>
            <w:shd w:fill="0B2E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440"/>
            <w:shd w:fill="0B2E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f6–f10</w:t>
            </w:r>
          </w:p>
        </w:tc>
        <w:tc>
          <w:tcPr>
            <w:tcW w:type="dxa" w:w="7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category spend → discount revenue + points earn</w:t>
            </w:r>
          </w:p>
        </w:tc>
      </w:tr>
      <w:tr>
        <w:tc>
          <w:tcPr>
            <w:tcW w:type="dxa" w:w="19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f1</w:t>
            </w:r>
          </w:p>
        </w:tc>
        <w:tc>
          <w:tcPr>
            <w:tcW w:type="dxa" w:w="744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revolve balance → net interest (performing) + drawn exposure</w:t>
            </w:r>
          </w:p>
        </w:tc>
      </w:tr>
      <w:tr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f17</w:t>
            </w:r>
          </w:p>
        </w:tc>
        <w:tc>
          <w:tcPr>
            <w:tcW w:type="dxa" w:w="7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lend line → undrawn exposure (risk, not revenue)</w:t>
            </w:r>
          </w:p>
        </w:tc>
      </w:tr>
      <w:tr>
        <w:tc>
          <w:tcPr>
            <w:tcW w:type="dxa" w:w="19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f19, f20</w:t>
            </w:r>
          </w:p>
        </w:tc>
        <w:tc>
          <w:tcPr>
            <w:tcW w:type="dxa" w:w="744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accounts → fee income</w:t>
            </w:r>
          </w:p>
        </w:tc>
      </w:tr>
      <w:tr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f11</w:t>
            </w:r>
          </w:p>
        </w:tc>
        <w:tc>
          <w:tcPr>
            <w:tcW w:type="dxa" w:w="7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risk score → probability of default</w:t>
            </w:r>
          </w:p>
        </w:tc>
      </w:tr>
      <w:tr>
        <w:tc>
          <w:tcPr>
            <w:tcW w:type="dxa" w:w="19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f13–f16</w:t>
            </w:r>
          </w:p>
        </w:tc>
        <w:tc>
          <w:tcPr>
            <w:tcW w:type="dxa" w:w="744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benefit usage → benefit cost</w:t>
            </w:r>
          </w:p>
        </w:tc>
      </w:tr>
      <w:tr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f2, f3</w:t>
            </w:r>
          </w:p>
        </w:tc>
        <w:tc>
          <w:tcPr>
            <w:tcW w:type="dxa" w:w="7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cancellation / collections flags → attrition + recovery cost</w:t>
            </w:r>
          </w:p>
        </w:tc>
      </w:tr>
      <w:tr>
        <w:tc>
          <w:tcPr>
            <w:tcW w:type="dxa" w:w="19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B2E5C"/>
                <w:sz w:val="19"/>
                <w:szCs w:val="19"/>
              </w:rPr>
              <w:t xml:space="preserve">f21</w:t>
            </w:r>
          </w:p>
        </w:tc>
        <w:tc>
          <w:tcPr>
            <w:tcW w:type="dxa" w:w="744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points redeemed → redemption propensity</w:t>
            </w:r>
          </w:p>
        </w:tc>
      </w:tr>
      <w:tr>
        <w:tc>
          <w:tcPr>
            <w:tcW w:type="dxa" w:w="192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B2A38"/>
                <w:sz w:val="19"/>
                <w:szCs w:val="19"/>
              </w:rPr>
              <w:t xml:space="preserve">f5</w:t>
            </w:r>
          </w:p>
        </w:tc>
        <w:tc>
          <w:tcPr>
            <w:tcW w:type="dxa" w:w="744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7A3038"/>
                <w:sz w:val="19"/>
                <w:szCs w:val="19"/>
              </w:rPr>
              <w:t xml:space="preserve">excluded — decoy (corr 0.10 with sum f6–f10, 13× scale mismatch)</w:t>
            </w:r>
          </w:p>
        </w:tc>
      </w:tr>
      <w:tr>
        <w:tc>
          <w:tcPr>
            <w:tcW w:type="dxa" w:w="192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B2A38"/>
                <w:sz w:val="19"/>
                <w:szCs w:val="19"/>
              </w:rPr>
              <w:t xml:space="preserve">f18</w:t>
            </w:r>
          </w:p>
        </w:tc>
        <w:tc>
          <w:tcPr>
            <w:tcW w:type="dxa" w:w="744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7A3038"/>
                <w:sz w:val="19"/>
                <w:szCs w:val="19"/>
              </w:rPr>
              <w:t xml:space="preserve">excluded — duplicate of f17 (corr 0.90)</w:t>
            </w:r>
          </w:p>
        </w:tc>
      </w:tr>
      <w:tr>
        <w:tc>
          <w:tcPr>
            <w:tcW w:type="dxa" w:w="192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B2A38"/>
                <w:sz w:val="19"/>
                <w:szCs w:val="19"/>
              </w:rPr>
              <w:t xml:space="preserve">f4</w:t>
            </w:r>
          </w:p>
        </w:tc>
        <w:tc>
          <w:tcPr>
            <w:tcW w:type="dxa" w:w="744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7A3038"/>
                <w:sz w:val="19"/>
                <w:szCs w:val="19"/>
              </w:rPr>
              <w:t xml:space="preserve">excluded — points stock, not a flow</w:t>
            </w:r>
          </w:p>
        </w:tc>
      </w:tr>
      <w:tr>
        <w:tc>
          <w:tcPr>
            <w:tcW w:type="dxa" w:w="192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B2A38"/>
                <w:sz w:val="19"/>
                <w:szCs w:val="19"/>
              </w:rPr>
              <w:t xml:space="preserve">f12 / f22 / f23</w:t>
            </w:r>
          </w:p>
        </w:tc>
        <w:tc>
          <w:tcPr>
            <w:tcW w:type="dxa" w:w="7440"/>
            <w:shd w:fill="FBEE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7A3038"/>
                <w:sz w:val="19"/>
                <w:szCs w:val="19"/>
              </w:rPr>
              <w:t xml:space="preserve">excluded — engagement, no direct P&amp;L linkage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Imputation: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missing f11 → population median; block-missing spend / benefit / line / redemption → 0 (non-enrolment or non-usage). Redemption propensity is clipped to [0, 1.2] to allow drawdown of previously banked points.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6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Validation — offline, no leaderboard input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Calibration is against portfolio economics rather than the leaderboard, so the model cannot overfit to feedback it never received.</w:t>
      </w:r>
    </w:p>
    <w:tbl>
      <w:tblPr>
        <w:tblW w:type="dxa" w:w="9360"/>
        <w:tblBorders>
          <w:top w:val="single" w:color="C9D3DF" w:sz="2"/>
          <w:left w:val="none"/>
          <w:bottom w:val="single" w:color="C9D3DF" w:sz="2"/>
          <w:right w:val="none"/>
          <w:insideH w:val="single" w:color="C9D3DF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2E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680"/>
            <w:shd w:fill="0B2E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Aggregate expected loss / aggregate exposure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3.06%  — within premium charge-off benchmark ~1.5–3%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Revenue mix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discount 38.1%  ·  NII 17.4%  ·  fees 44.5%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Top-20% vs rest — mean spend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$104,079  vs  $20,639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Top-20% vs rest — mean risk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0.008  vs  0.040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Top-100k stability, ±25% block perturbation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90.6% – 98.8% identical membership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E5C"/>
                <w:sz w:val="19"/>
                <w:szCs w:val="19"/>
              </w:rPr>
              <w:t xml:space="preserve">Format compliance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500k rows · IDs 0–499999 · unique, non-null · both template sheets filled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Interpretation.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3.06% loss rate sits inside the premium charge-off band; the top quintile has ~5× the spend and ~1/5 the risk of the rest — the correct shape for an ultra-premium book; and top-100k membership is stable under ±25% perturbation of every major coefficient block, confirming the ranking is driven by economics rather than knife-edge parameters.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7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Positioning and limitations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Honest accuracy.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0.92 overlap is the true accuracy of a first-principles economic model on this task, not a leaderboard-tuned number. Because no leaderboard information is baked in, public and private scores should agree up to sampling noise.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Auditability over score.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Score was deliberately not optimised against the leaderboard; the design objective was that every coefficient survive a "why that value?" challenge in review.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Known assumptions.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f11 approximates 12-month PD up to scale; block-missing values indicate non-enrolment; f21 proxies steady-state redemption; the undrawn line converts at a fixed 40% CCF; and published product parameters hold across the book. Each is a modelling choice, stated rather than hidden.</w:t>
      </w:r>
    </w:p>
    <w:p>
      <w:pPr>
        <w:pStyle w:val="Heading1"/>
        <w:pBdr>
          <w:bottom w:val="single" w:color="C9D3DF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06FCF"/>
          <w:sz w:val="26"/>
          <w:szCs w:val="26"/>
        </w:rPr>
        <w:t xml:space="preserve">8  </w:t>
      </w:r>
      <w:r>
        <w:rPr>
          <w:rFonts w:ascii="Calibri" w:cs="Calibri" w:eastAsia="Calibri" w:hAnsi="Calibri"/>
          <w:b/>
          <w:bCs/>
          <w:color w:val="0B2E5C"/>
          <w:sz w:val="26"/>
          <w:szCs w:val="26"/>
        </w:rPr>
        <w:t xml:space="preserve">Reproducibility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pipeline is deterministic end to end.</w:t>
      </w:r>
    </w:p>
    <w:p>
      <w:pPr>
        <w:pBdr>
          <w:top w:val="single" w:color="C9D3DF" w:sz="4" w:space="4"/>
          <w:bottom w:val="single" w:color="C9D3DF" w:sz="4" w:space="4"/>
          <w:left w:val="single" w:color="006FCF" w:sz="18" w:space="8"/>
        </w:pBdr>
        <w:shd w:fill="F4F5F7" w:color="auto" w:val="clear"/>
        <w:spacing w:after="0" w:line="250"/>
      </w:pPr>
      <w:r>
        <w:rPr>
          <w:rFonts w:ascii="Consolas" w:cs="Consolas" w:eastAsia="Consolas" w:hAnsi="Consolas"/>
          <w:color w:val="223344"/>
          <w:sz w:val="17"/>
          <w:szCs w:val="17"/>
        </w:rPr>
        <w:t xml:space="preserve">python3 baep_pipeline.py &lt;data.csv&gt; &lt;submission_template.xlsx&gt;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writes submission_BAEP.xlsx (Predictions + Profitability Framework sheets, template-conformant) and baep_diagnostics.txt. Strict uniqueness is enforced by a monotone 1e-6 offset in (score, id) order — below any real economic gap, so it never reorders economically distinct members.</w:t>
      </w:r>
    </w:p>
    <w:p>
      <w:pPr>
        <w:pBdr>
          <w:top w:val="single" w:color="C9D3DF" w:sz="6" w:space="8"/>
        </w:pBdr>
        <w:spacing w:before="26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One equation. Every coefficient sourced. Nothing fitted to the leaderboard.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B6570"/>
        <w:sz w:val="15"/>
        <w:szCs w:val="15"/>
      </w:rPr>
      <w:t xml:space="preserve">BAEP · Amex Campus Challenge 2026 · Round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BAEP — Breakage-Adjusted Economic Profit — Final Report</dc:title>
  <dc:creator>Palak</dc:creator>
  <cp:lastModifiedBy>Un-named</cp:lastModifiedBy>
  <cp:revision>1</cp:revision>
  <dcterms:created xsi:type="dcterms:W3CDTF">2026-07-11T13:06:38.473Z</dcterms:created>
  <dcterms:modified xsi:type="dcterms:W3CDTF">2026-07-11T13:06:38.473Z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