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52B42"/>
          <w:sz w:val="64"/>
          <w:szCs w:val="64"/>
        </w:rPr>
        <w:t xml:space="preserve">HabitSense</w:t>
      </w:r>
    </w:p>
    <w:p>
      <w:pPr>
        <w:spacing w:after="320"/>
        <w:jc w:val="center"/>
      </w:pPr>
      <w:r>
        <w:rPr>
          <w:i/>
          <w:iCs/>
          <w:color w:val="8B6FC2"/>
          <w:sz w:val="26"/>
          <w:szCs w:val="26"/>
        </w:rPr>
        <w:t xml:space="preserve">Every habit shapes you.</w:t>
      </w:r>
    </w:p>
    <w:p>
      <w:pPr>
        <w:spacing w:after="40"/>
        <w:jc w:val="center"/>
      </w:pPr>
      <w:r>
        <w:rPr>
          <w:b/>
          <w:bCs/>
          <w:color w:val="2B2433"/>
          <w:sz w:val="30"/>
          <w:szCs w:val="30"/>
        </w:rPr>
        <w:t xml:space="preserve">Build Methodology &amp; Product Specification</w:t>
      </w:r>
    </w:p>
    <w:p>
      <w:pPr>
        <w:spacing w:after="700"/>
        <w:jc w:val="center"/>
      </w:pPr>
      <w:r>
        <w:rPr>
          <w:color w:val="6B6275"/>
          <w:sz w:val="22"/>
          <w:szCs w:val="22"/>
        </w:rPr>
        <w:t xml:space="preserve">Phase 1 — Website Foundation</w:t>
      </w:r>
    </w:p>
    <w:p>
      <w:pPr>
        <w:spacing w:after="120" w:before="120"/>
        <w:jc w:val="center"/>
      </w:pPr>
      <w:r>
        <w:drawing>
          <wp:inline distT="0" distB="0" distL="0" distR="0">
            <wp:extent cx="5667375" cy="3771900"/>
            <wp:effectExtent t="0" r="0" b="0" l="0"/>
            <wp:docPr id="1" name="HabitSense dashboard UI reference" descr="HabitSense dashboard UI reference" title="HabitSense dashboard UI refer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B6275"/>
          <w:sz w:val="18"/>
          <w:szCs w:val="18"/>
        </w:rPr>
        <w:t xml:space="preserve">Reference UI — Dashboard (target visual quality bar for this build)</w:t>
      </w:r>
    </w:p>
    <w:p>
      <w:pPr>
        <w:spacing w:before="500"/>
      </w:pPr>
    </w:p>
    <w:p>
      <w:pPr>
        <w:spacing w:after="40"/>
        <w:jc w:val="center"/>
      </w:pPr>
      <w:r>
        <w:rPr>
          <w:color w:val="6B6275"/>
          <w:sz w:val="20"/>
          <w:szCs w:val="20"/>
        </w:rPr>
        <w:t xml:space="preserve">Prepared for: Palak</w:t>
      </w:r>
    </w:p>
    <w:p>
      <w:pPr>
        <w:spacing w:after="40"/>
        <w:jc w:val="center"/>
      </w:pPr>
      <w:r>
        <w:rPr>
          <w:color w:val="6B6275"/>
          <w:sz w:val="20"/>
          <w:szCs w:val="20"/>
        </w:rPr>
        <w:t xml:space="preserve">Document version: 1.0</w:t>
      </w:r>
    </w:p>
    <w:p>
      <w:pPr>
        <w:jc w:val="center"/>
      </w:pPr>
      <w:r>
        <w:rPr>
          <w:color w:val="6B6275"/>
          <w:sz w:val="20"/>
          <w:szCs w:val="20"/>
        </w:rPr>
        <w:t xml:space="preserve">Last updated: June 25,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1. Product Overview</w:t>
      </w:r>
    </w:p>
    <w:p>
      <w:pPr>
        <w:pStyle w:val="Heading2"/>
      </w:pPr>
      <w:r>
        <w:t xml:space="preserve">1.1 What HabitSense Is</w:t>
      </w:r>
    </w:p>
    <w:p>
      <w:pPr>
        <w:spacing w:after="160" w:before="0" w:line="300"/>
        <w:jc w:val="left"/>
      </w:pPr>
      <w:r>
        <w:rPr>
          <w:color w:val="2B2433"/>
          <w:sz w:val="22"/>
          <w:szCs w:val="22"/>
        </w:rPr>
        <w:t xml:space="preserve">HabitSense is a personal habit, sleep, and routine tracker built as a warm, cozy alternative to clinical productivity dashboards. The product thesis is simple: consistency tools should feel encouraging, not like another spreadsheet to maintain. This document covers Phase 1 only — a fully functional, polished web application — while keeping the architecture ready for the cloud, mood-tracking, and desktop phases that follow.</w:t>
      </w:r>
    </w:p>
    <w:p>
      <w:pPr>
        <w:pStyle w:val="Heading2"/>
      </w:pPr>
      <w:r>
        <w:t xml:space="preserve">1.2 Design Language (from the reference UI)</w:t>
      </w:r>
    </w:p>
    <w:p>
      <w:pPr>
        <w:spacing w:after="160" w:before="0" w:line="300"/>
        <w:jc w:val="left"/>
      </w:pPr>
      <w:r>
        <w:rPr>
          <w:color w:val="2B2433"/>
          <w:sz w:val="22"/>
          <w:szCs w:val="22"/>
        </w:rPr>
        <w:t xml:space="preserve">Both reference screens below define the visual contract for this build. Every component spec in Section 4 traces back to a pattern visible in these images — color-coded habit rows, soft rounded checkboxes, pastel gradient banners, and small illustrated companions that carry the emotional tone of the app.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3962400"/>
            <wp:effectExtent t="0" r="0" b="0" l="0"/>
            <wp:docPr id="1" name="HabitSense landing page UI reference" descr="HabitSense landing page UI reference" title="HabitSense landing page UI refer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B6275"/>
          <w:sz w:val="18"/>
          <w:szCs w:val="18"/>
        </w:rPr>
        <w:t xml:space="preserve">Reference UI — Marketing / Landing Page</w:t>
      </w:r>
    </w:p>
    <w:p>
      <w:pPr>
        <w:pStyle w:val="Heading3"/>
      </w:pPr>
      <w:r>
        <w:t xml:space="preserve">Key visual signatures to preserve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Each habit gets its own accent color (rose for Read Book, orange for Workout, blue for Drink Water, purple for Meditate, green for Code, teal for No Junk Food) — color is the primary way users distinguish rows at a glance.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Checkboxes are circular, not square, and use a soft filled state rather than a hard checkmark-in-a-box.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Hero / banner sections use warm gradient backgrounds (peach → lavender → sky) paired with a single small illustrated character — never busy clip-art collages.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Card corners are generously rounded (16–24px), with soft drop shadows rather than hard borders.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Empty states and sidebars carry a small motivational illustration + one short encouraging line, e.g. “Growth looks beautiful on consistent days.”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Typography is friendly but not cartoonish — a clean geometric sans (the spec calls for this), with playful illustration providing the personality instead of the type.</w:t>
      </w:r>
    </w:p>
    <w:p>
      <w:pPr>
        <w:pStyle w:val="Heading2"/>
      </w:pPr>
      <w:r>
        <w:t xml:space="preserve">1.3 Goals for This Document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Lock down a buildable, unambiguous specification so implementation doesn’t stall on undecided details.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Define a data architecture that survives the move from LocalStorage (Phase 1) to Supabase (Phase 2) without a rewrite.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Resolve the open questions flagged in the original spec review (streak rules, mobile grid layout, PWA scope, build order).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Give a week-by-week build plan that a single developer can execute against.</w:t>
      </w:r>
    </w:p>
    <w:p>
      <w:pPr>
        <w:pStyle w:val="Heading1"/>
      </w:pPr>
      <w:r>
        <w:t xml:space="preserve">2. Scope &amp; Guiding Principles</w:t>
      </w:r>
    </w:p>
    <w:p>
      <w:pPr>
        <w:pStyle w:val="Heading2"/>
      </w:pPr>
      <w:r>
        <w:t xml:space="preserve">2.1 In Scope (Phase 1 — Website)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8B6FC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72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8B6FC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 1 Scope</w:t>
            </w:r>
          </w:p>
        </w:tc>
      </w:tr>
      <w:tr>
        <w:tc>
          <w:tcPr>
            <w:tcW w:type="dxa" w:w="336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Habit Tracking</w:t>
            </w:r>
          </w:p>
        </w:tc>
        <w:tc>
          <w:tcPr>
            <w:tcW w:type="dxa" w:w="672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Create/edit up to 10 habits, monthly grid (1–31), checkbox completion, completion %, streaks</w:t>
            </w:r>
          </w:p>
        </w:tc>
      </w:tr>
      <w:tr>
        <w:tc>
          <w:tcPr>
            <w:tcW w:type="dxa" w:w="336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Sleep Tracking</w:t>
            </w:r>
          </w:p>
        </w:tc>
        <w:tc>
          <w:tcPr>
            <w:tcW w:type="dxa" w:w="672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Daily sleep hours log, line chart trend, history + average</w:t>
            </w:r>
          </w:p>
        </w:tc>
      </w:tr>
      <w:tr>
        <w:tc>
          <w:tcPr>
            <w:tcW w:type="dxa" w:w="336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Analytics</w:t>
            </w:r>
          </w:p>
        </w:tc>
        <w:tc>
          <w:tcPr>
            <w:tcW w:type="dxa" w:w="672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Daily completion score, per-habit stats, weekly/monthly summaries</w:t>
            </w:r>
          </w:p>
        </w:tc>
      </w:tr>
      <w:tr>
        <w:tc>
          <w:tcPr>
            <w:tcW w:type="dxa" w:w="336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Storage</w:t>
            </w:r>
          </w:p>
        </w:tc>
        <w:tc>
          <w:tcPr>
            <w:tcW w:type="dxa" w:w="672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LocalStorage only, versioned schema, swappable adapter interface</w:t>
            </w:r>
          </w:p>
        </w:tc>
      </w:tr>
      <w:tr>
        <w:tc>
          <w:tcPr>
            <w:tcW w:type="dxa" w:w="336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Platform</w:t>
            </w:r>
          </w:p>
        </w:tc>
        <w:tc>
          <w:tcPr>
            <w:tcW w:type="dxa" w:w="672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Responsive website + installable PWA (offline read of existing data)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2.2 Explicitly Out of Scope (Future Roadmap)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8B6FC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72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8B6FC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Deferred Features</w:t>
            </w:r>
          </w:p>
        </w:tc>
      </w:tr>
      <w:tr>
        <w:tc>
          <w:tcPr>
            <w:tcW w:type="dxa" w:w="336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Phase 2</w:t>
            </w:r>
          </w:p>
        </w:tc>
        <w:tc>
          <w:tcPr>
            <w:tcW w:type="dxa" w:w="672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Supabase integration, authentication, real cloud sync</w:t>
            </w:r>
          </w:p>
        </w:tc>
      </w:tr>
      <w:tr>
        <w:tc>
          <w:tcPr>
            <w:tcW w:type="dxa" w:w="336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Phase 3</w:t>
            </w:r>
          </w:p>
        </w:tc>
        <w:tc>
          <w:tcPr>
            <w:tcW w:type="dxa" w:w="672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Mood tracking, notes/reflections, browser extension for screen time</w:t>
            </w:r>
          </w:p>
        </w:tc>
      </w:tr>
      <w:tr>
        <w:tc>
          <w:tcPr>
            <w:tcW w:type="dxa" w:w="336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Phase 4</w:t>
            </w:r>
          </w:p>
        </w:tc>
        <w:tc>
          <w:tcPr>
            <w:tcW w:type="dxa" w:w="672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Tauri desktop app — Windows, macOS, Linux</w:t>
            </w:r>
          </w:p>
        </w:tc>
      </w:tr>
    </w:tbl>
    <w:p>
      <w:pPr>
        <w:spacing w:before="2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8B6FC2" w:sz="24"/>
              <w:bottom w:val="none" w:color="FFFFFF" w:sz="0"/>
              <w:right w:val="none" w:color="FFFFFF" w:sz="0"/>
            </w:tcBorders>
            <w:shd w:fill="F8F5F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352B42"/>
                <w:sz w:val="22"/>
                <w:szCs w:val="22"/>
              </w:rPr>
              <w:t xml:space="preserve">Why this boundary matters</w:t>
            </w:r>
          </w:p>
          <w:p>
            <w:pPr>
              <w:spacing w:after="0" w:line="290"/>
            </w:pPr>
            <w:r>
              <w:rPr>
                <w:color w:val="2B2433"/>
                <w:sz w:val="21"/>
                <w:szCs w:val="21"/>
              </w:rPr>
              <w:t xml:space="preserve">Every Phase 2+ feature touches the data layer (auth changes who owns the data, sync changes how it's written, mood tracking adds a new entity type). Section 3 defines the storage abstraction precisely so that none of this requires touching Phase 1 UI code — only swapping the adapter implementation underneath it.</w:t>
            </w:r>
          </w:p>
        </w:tc>
      </w:tr>
    </w:tbl>
    <w:p>
      <w:pPr>
        <w:spacing w:before="280"/>
      </w:pPr>
    </w:p>
    <w:p>
      <w:pPr>
        <w:pStyle w:val="Heading2"/>
      </w:pPr>
      <w:r>
        <w:t xml:space="preserve">2.3 Guiding Principles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Calm over clever. If a micro-interaction doesn’t reinforce “you’re doing fine,” cut it.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One adapter, many backends. The UI never talks to localStorage directly — it talks to a StorageAdapter interface (Section 3.2).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Mobile is a different layout, not a shrunk one. The 10×31 grid does not survive a naive responsive squeeze (Section 4.3).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Ship the dashboard last. It's a consumer of habit + sleep data, so it should be the last screen built, not the first (Section 6).</w:t>
      </w:r>
    </w:p>
    <w:p>
      <w:pPr>
        <w:pStyle w:val="Heading1"/>
      </w:pPr>
      <w:r>
        <w:t xml:space="preserve">3. Data Architecture</w:t>
      </w:r>
    </w:p>
    <w:p>
      <w:pPr>
        <w:pStyle w:val="Heading2"/>
      </w:pPr>
      <w:r>
        <w:t xml:space="preserve">3.1 Core Entities</w:t>
      </w:r>
    </w:p>
    <w:p>
      <w:pPr>
        <w:spacing w:after="160" w:before="0" w:line="300"/>
        <w:jc w:val="left"/>
      </w:pPr>
      <w:r>
        <w:rPr>
          <w:color w:val="2B2433"/>
          <w:sz w:val="22"/>
          <w:szCs w:val="22"/>
        </w:rPr>
        <w:t xml:space="preserve">Four entities cover the full Phase 1 feature set. Each is intentionally flat and serializable — no nested objects beyond one level — so they map cleanly onto both LocalStorage JSON today and Postgres rows in Phase 2.</w:t>
      </w:r>
    </w:p>
    <w:p>
      <w:pPr>
        <w:pStyle w:val="Heading3"/>
      </w:pPr>
      <w:r>
        <w:t xml:space="preserve">Habit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4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type Habit = {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id: string;            // uuid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name: string;           // "Read Book"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icon: string;           // lucide icon key, e.g. "book-open"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color: HabitColor;      // see palette below — drives row + chip color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createdAt: string;      // ISO date, first selectable day in the grid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archivedAt: string | null;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sortOrder: number;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};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type HabitColor =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| "rose" | "orange" | "sky" | "violet" | "green" | "teal" | "amber" | "pink" | "indigo" | "lime";</w:t>
            </w:r>
          </w:p>
        </w:tc>
      </w:tr>
    </w:tbl>
    <w:p>
      <w:pPr>
        <w:pStyle w:val="Heading3"/>
      </w:pPr>
      <w:r>
        <w:t xml:space="preserve">HabitEntry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4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type HabitEntry = {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habitId: string;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date: string;           // "YYYY-MM-DD", local calendar day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status: "done" | "missed" | "unmarked";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};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// Stored sparsely — only "done" and explicit "missed" entries are written.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// Absence of a record means "unmarked," not "missed." This distinction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// is what Section 3.4 uses to define streak behavior correctly.</w:t>
            </w:r>
          </w:p>
        </w:tc>
      </w:tr>
    </w:tbl>
    <w:p>
      <w:pPr>
        <w:pStyle w:val="Heading3"/>
      </w:pPr>
      <w:r>
        <w:t xml:space="preserve">SleepEntry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4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type SleepEntry = {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date: string;           // "YYYY-MM-DD"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hours: number;          // 0–24, 0.25 step (15 min granularity)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loggedAt: string;       // ISO timestamp, for "last edited" purposes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};</w:t>
            </w:r>
          </w:p>
        </w:tc>
      </w:tr>
    </w:tbl>
    <w:p>
      <w:pPr>
        <w:pStyle w:val="Heading3"/>
      </w:pPr>
      <w:r>
        <w:t xml:space="preserve">AppMeta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4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type AppMeta = {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schemaVersion: number;  // start at 1 — see migration strategy 3.5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userDisplayName: string | null;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themeMode: "light" | "dark";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onboardingCompletedAt: string | null;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};</w:t>
            </w:r>
          </w:p>
        </w:tc>
      </w:tr>
    </w:tbl>
    <w:p>
      <w:pPr>
        <w:pStyle w:val="Heading2"/>
      </w:pPr>
      <w:r>
        <w:t xml:space="preserve">3.2 The StorageAdapter Interface</w:t>
      </w:r>
    </w:p>
    <w:p>
      <w:pPr>
        <w:spacing w:after="160" w:before="0" w:line="300"/>
        <w:jc w:val="left"/>
      </w:pPr>
      <w:r>
        <w:rPr>
          <w:color w:val="2B2433"/>
          <w:sz w:val="22"/>
          <w:szCs w:val="22"/>
        </w:rPr>
        <w:t xml:space="preserve">This is the single most important architectural decision in Phase 1. Every read and write in the app goes through this interface. The LocalStorage implementation is a detail; the interface is the contract that makes Phase 2's Supabase migration a swap, not a rewrite.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4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interface StorageAdapter {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// Habits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getHabits(): Promise&lt;Habit[]&gt;;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saveHabit(habit: Habit): Promise&lt;void&gt;;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deleteHabit(habitId: string): Promise&lt;void&gt;;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// Entries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getEntries(range: { from: string; to: string }): Promise&lt;HabitEntry[]&gt;;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setEntryStatus(habitId: string, date: string, status: HabitEntry["status"]): Promise&lt;void&gt;;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// Sleep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getSleepEntries(range: { from: string; to: string }): Promise&lt;SleepEntry[]&gt;;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setSleepEntry(date: string, hours: number): Promise&lt;void&gt;;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// Meta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getMeta(): Promise&lt;AppMeta&gt;;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updateMeta(patch: Partial&lt;AppMeta&gt;): Promise&lt;void&gt;;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// Lifecycle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exportAll(): Promise&lt;ExportBundle&gt;;   // for backup / future migration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importAll(bundle: ExportBundle): Promise&lt;void&gt;;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40"/>
      </w:pPr>
    </w:p>
    <w:p>
      <w:pPr>
        <w:spacing w:after="160" w:before="0" w:line="300"/>
        <w:jc w:val="left"/>
      </w:pPr>
      <w:r>
        <w:rPr>
          <w:color w:val="2B2433"/>
          <w:sz w:val="22"/>
          <w:szCs w:val="22"/>
        </w:rPr>
        <w:t xml:space="preserve">Phase 1 ships exactly one implementation: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LocalStorageAdapter — implements every method above by reading/writing a single namespaced JSON blob in window.localStorage, keyed as habitsense:v1.</w:t>
      </w:r>
    </w:p>
    <w:p>
      <w:pPr>
        <w:spacing w:after="160" w:before="0" w:line="300"/>
        <w:jc w:val="left"/>
      </w:pPr>
      <w:r>
        <w:rPr>
          <w:color w:val="2B2433"/>
          <w:sz w:val="22"/>
          <w:szCs w:val="22"/>
        </w:rPr>
        <w:t xml:space="preserve">Phase 2 adds a second implementation without touching a single component: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SupabaseAdapter — same interface, Postgres-backed, with the same method signatures. The app's React Query hooks (Section 4.2) call the interface, never the implementation, so the swap is a one-line change in the provider.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F4A989" w:sz="24"/>
              <w:bottom w:val="none" w:color="FFFFFF" w:sz="0"/>
              <w:right w:val="none" w:color="FFFFFF" w:sz="0"/>
            </w:tcBorders>
            <w:shd w:fill="FCEFE8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352B42"/>
                <w:sz w:val="22"/>
                <w:szCs w:val="22"/>
              </w:rPr>
              <w:t xml:space="preserve">Implementation rule</w:t>
            </w:r>
          </w:p>
          <w:p>
            <w:pPr>
              <w:spacing w:after="0" w:line="290"/>
            </w:pPr>
            <w:r>
              <w:rPr>
                <w:color w:val="2B2433"/>
                <w:sz w:val="21"/>
                <w:szCs w:val="21"/>
              </w:rPr>
              <w:t xml:space="preserve">No component, hook, or page may import localStorage directly. All access goes through useStorage(), a context hook that returns whichever StorageAdapter is currently active. This is the rule most likely to be skipped under deadline pressure — and the one that costs the most later if it is.</w:t>
            </w:r>
          </w:p>
        </w:tc>
      </w:tr>
    </w:tbl>
    <w:p>
      <w:pPr>
        <w:pStyle w:val="Heading2"/>
      </w:pPr>
      <w:r>
        <w:t xml:space="preserve">3.3 Storage Schema (LocalStorage JSON shape)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4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{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"schemaVersion": 1,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"meta": { "userDisplayName": "Palak", "themeMode": "light", "onboardingCompletedAt": "2026-06-01T00:00:00Z" },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"habits": [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  { "id": "h1", "name": "Read Book", "icon": "book-open", "color": "rose",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    "createdAt": "2026-06-01", "archivedAt": null, "sortOrder": 0 }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],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"entries": [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  { "habitId": "h1", "date": "2026-06-03", "status": "done" }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],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"sleep": [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  { "date": "2026-06-03", "hours": 7.25, "loggedAt": "2026-06-04T07:10:00Z" }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]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 w:line="300"/>
        <w:jc w:val="left"/>
      </w:pPr>
      <w:r>
        <w:rPr>
          <w:color w:val="2B2433"/>
          <w:sz w:val="22"/>
          <w:szCs w:val="22"/>
        </w:rPr>
        <w:t xml:space="preserve">This entire object is stored under one key. Reads parse it once per session and cache in memory; writes debounce at 300ms and re-serialize the whole object — simple, and entirely sufficient at this data volume (10 habits × 365 days is ~3,650 small records a year).</w:t>
      </w:r>
    </w:p>
    <w:p>
      <w:pPr>
        <w:pStyle w:val="Heading2"/>
      </w:pPr>
      <w:r>
        <w:t xml:space="preserve">3.4 Streak Rules (resolved)</w:t>
      </w:r>
    </w:p>
    <w:p>
      <w:pPr>
        <w:spacing w:after="160" w:before="0" w:line="300"/>
        <w:jc w:val="left"/>
      </w:pPr>
      <w:r>
        <w:rPr>
          <w:color w:val="2B2433"/>
          <w:sz w:val="22"/>
          <w:szCs w:val="22"/>
        </w:rPr>
        <w:t xml:space="preserve">This was left ambiguous in the original spec. Resolved definition for Phase 1: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B2433"/>
          <w:sz w:val="22"/>
          <w:szCs w:val="22"/>
        </w:rPr>
        <w:t xml:space="preserve">A day counts toward a streak only if it is explicitly marked “done.” An unmarked day is neutral, not a break — it simply isn’t counted yet.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B2433"/>
          <w:sz w:val="22"/>
          <w:szCs w:val="22"/>
        </w:rPr>
        <w:t xml:space="preserve">A streak breaks the first time a past day is explicitly marked “missed,” or when a full calendar day has elapsed with no “done” entry and the habit existed on that day.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B2433"/>
          <w:sz w:val="22"/>
          <w:szCs w:val="22"/>
        </w:rPr>
        <w:t xml:space="preserve">Today is never treated as a break-in-progress — the streak calculation only evaluates days strictly before today, so users aren’t penalized mid-day.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B2433"/>
          <w:sz w:val="22"/>
          <w:szCs w:val="22"/>
        </w:rPr>
        <w:t xml:space="preserve">Both Current Streak and Longest Streak are tracked per habit and computed on read (not stored), since they’re a pure function of the entries array and recomputing is cheap at this scale.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B2433"/>
          <w:sz w:val="22"/>
          <w:szCs w:val="22"/>
        </w:rPr>
        <w:t xml:space="preserve">Backfilling past days is allowed — users can mark yesterday or last week as done, and the streak recalculates accordingly. This matches the “no pressure” tone of the product.</w:t>
      </w:r>
    </w:p>
    <w:p>
      <w:pPr>
        <w:pStyle w:val="Heading2"/>
      </w:pPr>
      <w:r>
        <w:t xml:space="preserve">3.5 Schema Versioning &amp; Migration Strategy</w:t>
      </w:r>
    </w:p>
    <w:p>
      <w:pPr>
        <w:spacing w:after="160" w:before="0" w:line="300"/>
        <w:jc w:val="left"/>
      </w:pPr>
      <w:r>
        <w:rPr>
          <w:color w:val="2B2433"/>
          <w:sz w:val="22"/>
          <w:szCs w:val="22"/>
        </w:rPr>
        <w:t xml:space="preserve">schemaVersion exists from day one so Phase 2 has a hook to migrate from. The pattern: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On load, the adapter checks schemaVersion against the current code’s expected version.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If older, it runs an ordered list of migration functions (migrations[1→2], migrations[2→3]…) before the app reads any data.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Phase 2’s Supabase migration becomes: read via LocalStorageAdapter.exportAll(), run schema migration if needed, import via SupabaseAdapter.importAll(). No manual data wrangling.</w:t>
      </w:r>
    </w:p>
    <w:p>
      <w:pPr>
        <w:pStyle w:val="Heading1"/>
      </w:pPr>
      <w:r>
        <w:t xml:space="preserve">4. UI &amp; Component Specification</w:t>
      </w:r>
    </w:p>
    <w:p>
      <w:pPr>
        <w:spacing w:after="160" w:before="0" w:line="300"/>
        <w:jc w:val="left"/>
      </w:pPr>
      <w:r>
        <w:rPr>
          <w:color w:val="2B2433"/>
          <w:sz w:val="22"/>
          <w:szCs w:val="22"/>
        </w:rPr>
        <w:t xml:space="preserve">This section translates the reference screenshots into a buildable component breakdown. Every component below is visible in one of the two reference images.</w:t>
      </w:r>
    </w:p>
    <w:p>
      <w:pPr>
        <w:pStyle w:val="Heading2"/>
      </w:pPr>
      <w:r>
        <w:t xml:space="preserve">4.1 Color System</w:t>
      </w:r>
    </w:p>
    <w:p>
      <w:pPr>
        <w:spacing w:after="160" w:before="0" w:line="300"/>
        <w:jc w:val="left"/>
      </w:pPr>
      <w:r>
        <w:rPr>
          <w:color w:val="2B2433"/>
          <w:sz w:val="22"/>
          <w:szCs w:val="22"/>
        </w:rPr>
        <w:t xml:space="preserve">Extracted from the reference UI. These are the per-habit accent colors plus the core neutral and gradient palette used across cards and banners.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8B6FC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72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8B6FC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 / Use</w:t>
            </w:r>
          </w:p>
        </w:tc>
      </w:tr>
      <w:tr>
        <w:tc>
          <w:tcPr>
            <w:tcW w:type="dxa" w:w="336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habit.rose</w:t>
            </w:r>
          </w:p>
        </w:tc>
        <w:tc>
          <w:tcPr>
            <w:tcW w:type="dxa" w:w="672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#F4778E — e.g. “Read Book” row</w:t>
            </w:r>
          </w:p>
        </w:tc>
      </w:tr>
      <w:tr>
        <w:tc>
          <w:tcPr>
            <w:tcW w:type="dxa" w:w="336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habit.orange</w:t>
            </w:r>
          </w:p>
        </w:tc>
        <w:tc>
          <w:tcPr>
            <w:tcW w:type="dxa" w:w="672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#F2994A — e.g. “Workout” row</w:t>
            </w:r>
          </w:p>
        </w:tc>
      </w:tr>
      <w:tr>
        <w:tc>
          <w:tcPr>
            <w:tcW w:type="dxa" w:w="336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habit.sky</w:t>
            </w:r>
          </w:p>
        </w:tc>
        <w:tc>
          <w:tcPr>
            <w:tcW w:type="dxa" w:w="672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#4FA8E0 — e.g. “Drink Water” row</w:t>
            </w:r>
          </w:p>
        </w:tc>
      </w:tr>
      <w:tr>
        <w:tc>
          <w:tcPr>
            <w:tcW w:type="dxa" w:w="336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habit.violet</w:t>
            </w:r>
          </w:p>
        </w:tc>
        <w:tc>
          <w:tcPr>
            <w:tcW w:type="dxa" w:w="672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#9B7FD4 — e.g. “Meditate” row</w:t>
            </w:r>
          </w:p>
        </w:tc>
      </w:tr>
      <w:tr>
        <w:tc>
          <w:tcPr>
            <w:tcW w:type="dxa" w:w="336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habit.green</w:t>
            </w:r>
          </w:p>
        </w:tc>
        <w:tc>
          <w:tcPr>
            <w:tcW w:type="dxa" w:w="672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#5FB87B — e.g. “Code” row</w:t>
            </w:r>
          </w:p>
        </w:tc>
      </w:tr>
      <w:tr>
        <w:tc>
          <w:tcPr>
            <w:tcW w:type="dxa" w:w="336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habit.teal</w:t>
            </w:r>
          </w:p>
        </w:tc>
        <w:tc>
          <w:tcPr>
            <w:tcW w:type="dxa" w:w="672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#3FB8A6 — e.g. “No Junk Food” row</w:t>
            </w:r>
          </w:p>
        </w:tc>
      </w:tr>
      <w:tr>
        <w:tc>
          <w:tcPr>
            <w:tcW w:type="dxa" w:w="336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surface.bg</w:t>
            </w:r>
          </w:p>
        </w:tc>
        <w:tc>
          <w:tcPr>
            <w:tcW w:type="dxa" w:w="672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#FFFFFF cards on #FBF8FD app background</w:t>
            </w:r>
          </w:p>
        </w:tc>
      </w:tr>
      <w:tr>
        <w:tc>
          <w:tcPr>
            <w:tcW w:type="dxa" w:w="336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surface.muted</w:t>
            </w:r>
          </w:p>
        </w:tc>
        <w:tc>
          <w:tcPr>
            <w:tcW w:type="dxa" w:w="672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#F8F5FB — zebra striping, subtle panels</w:t>
            </w:r>
          </w:p>
        </w:tc>
      </w:tr>
      <w:tr>
        <w:tc>
          <w:tcPr>
            <w:tcW w:type="dxa" w:w="336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text.heading</w:t>
            </w:r>
          </w:p>
        </w:tc>
        <w:tc>
          <w:tcPr>
            <w:tcW w:type="dxa" w:w="672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#352B42</w:t>
            </w:r>
          </w:p>
        </w:tc>
      </w:tr>
      <w:tr>
        <w:tc>
          <w:tcPr>
            <w:tcW w:type="dxa" w:w="336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text.body</w:t>
            </w:r>
          </w:p>
        </w:tc>
        <w:tc>
          <w:tcPr>
            <w:tcW w:type="dxa" w:w="672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#2B2433</w:t>
            </w:r>
          </w:p>
        </w:tc>
      </w:tr>
      <w:tr>
        <w:tc>
          <w:tcPr>
            <w:tcW w:type="dxa" w:w="336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text.muted</w:t>
            </w:r>
          </w:p>
        </w:tc>
        <w:tc>
          <w:tcPr>
            <w:tcW w:type="dxa" w:w="672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#6B6275</w:t>
            </w:r>
          </w:p>
        </w:tc>
      </w:tr>
      <w:tr>
        <w:tc>
          <w:tcPr>
            <w:tcW w:type="dxa" w:w="336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gradient.hero</w:t>
            </w:r>
          </w:p>
        </w:tc>
        <w:tc>
          <w:tcPr>
            <w:tcW w:type="dxa" w:w="672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linear-gradient(135deg, #FCE0D6 0%, #E6D9F5 55%, #D6E8F5 100%)</w:t>
            </w:r>
          </w:p>
        </w:tc>
      </w:tr>
    </w:tbl>
    <w:p>
      <w:pPr>
        <w:spacing w:before="280"/>
      </w:pPr>
    </w:p>
    <w:p>
      <w:pPr>
        <w:pStyle w:val="Heading2"/>
      </w:pPr>
      <w:r>
        <w:t xml:space="preserve">4.2 Application Shell</w:t>
      </w:r>
    </w:p>
    <w:p>
      <w:pPr>
        <w:spacing w:after="160" w:before="0" w:line="300"/>
        <w:jc w:val="left"/>
      </w:pPr>
      <w:r>
        <w:rPr>
          <w:color w:val="2B2433"/>
          <w:sz w:val="22"/>
          <w:szCs w:val="22"/>
        </w:rPr>
        <w:t xml:space="preserve">Matches the dashboard reference: a fixed left sidebar (Dashboard, Habits, Sleep, Analytics, Calendar, Notes, Settings), a top greeting bar with a contextual “Hey [name]” message, and a notification + avatar cluster top-right.</w:t>
      </w:r>
    </w:p>
    <w:p>
      <w:pPr>
        <w:pStyle w:val="Heading3"/>
      </w:pPr>
      <w:r>
        <w:t xml:space="preserve">Sidebar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Logo + tagline at top (“HabitSense — Every habit shapes you.”).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Nav items with icon + label, active state shown as a soft lavender pill background, matching the “Dashboard” highlighted state in the reference.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A motivational illustration card pinned near the bottom (tree/growth illustration in the reference) — this is a static encouragement card, not functional, and can rotate between 4–6 pre-written illustrated messages.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A “Current Streak” mini-card below that, showing the longest active streak across all habits with a small per-day bar visualization (M–S).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Light/Dark mode toggle pinned at the very bottom.</w:t>
      </w:r>
    </w:p>
    <w:p>
      <w:pPr>
        <w:pStyle w:val="Heading3"/>
      </w:pPr>
      <w:r>
        <w:t xml:space="preserve">Top bar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Greeting text is time-of-day aware: “Good morning,” “Good afternoon,” “Good evening,” followed by the user’s name and a waving emoji.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Subtext line rotates between a small set of encouraging copy lines (“Make today count. Your future self is cheering for you.” is the reference example).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A “What’s your focus today?” input — Phase 1 treats this as a lightweight daily intention note, stored as a single string per date in AppMeta-adjacent storage (not a full Notes feature, which is Phase 3).</w:t>
      </w:r>
    </w:p>
    <w:p>
      <w:pPr>
        <w:pStyle w:val="Heading2"/>
      </w:pPr>
      <w:r>
        <w:t xml:space="preserve">4.3 Habit Tracker Grid</w:t>
      </w:r>
    </w:p>
    <w:p>
      <w:pPr>
        <w:spacing w:after="160" w:before="0" w:line="300"/>
        <w:jc w:val="left"/>
      </w:pPr>
      <w:r>
        <w:rPr>
          <w:color w:val="2B2433"/>
          <w:sz w:val="22"/>
          <w:szCs w:val="22"/>
        </w:rPr>
        <w:t xml:space="preserve">The core component. Reference shows a table: habit name + icon in the left column, 31 day-columns, one circular checkbox per cell, color-coded per habit, with a “Daily Completion” footer row showing fraction completed per day.</w:t>
      </w:r>
    </w:p>
    <w:p>
      <w:pPr>
        <w:pStyle w:val="Heading3"/>
      </w:pPr>
      <w:r>
        <w:t xml:space="preserve">Desktop / tablet layout (≥ 768px)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Exact grid as shown in the reference: sticky first column (habit name), horizontally scrollable day columns if the viewport is narrower than 31 columns.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Month navigation via chevrons either side of the “May 2025” label, plus a “Today” button that jumps the scroll position and highlights the current date column (shown as a subtle vertical lavender band in the reference).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Clicking a circle cycles unmarked → done → missed → unmarked (or simply unmarked ↔ done if a simpler v1 is preferred — see Section 7 build order).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“Add Habit” row stays pinned beneath the last habit, matching the reference’s dashed-style add affordance.</w:t>
      </w:r>
    </w:p>
    <w:p>
      <w:pPr>
        <w:pStyle w:val="Heading3"/>
      </w:pPr>
      <w:r>
        <w:t xml:space="preserve">Mobile layout (&lt; 768px) — resolved gap from original spec</w:t>
      </w:r>
    </w:p>
    <w:p>
      <w:pPr>
        <w:spacing w:after="160" w:before="0" w:line="300"/>
        <w:jc w:val="left"/>
      </w:pPr>
      <w:r>
        <w:rPr>
          <w:color w:val="2B2433"/>
          <w:sz w:val="22"/>
          <w:szCs w:val="22"/>
        </w:rPr>
        <w:t xml:space="preserve">A 10×31 grid does not fit a phone screen without becoming the “spreadsheet-like” interface the spec explicitly warns against. Phase 1 ships a distinct mobile view, not a shrunk grid: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Mobile shows one day at a time: a vertical list of that day’s habits, each as a row with name, icon, and a single large circular checkbox.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A horizontal date strip (7 visible days, swipeable) sits above the list for quick day-switching — this is the same interaction pattern as the mobile mock’s “Today’s Summary” screen on the right side of the landing page reference.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A small calendar icon opens a month-grid date picker for jumping to a specific day, rather than trying to render all 31 days inline.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Both layouts read/write the same HabitEntry records — this is a view-layer split only, not a data-layer one.</w:t>
      </w:r>
    </w:p>
    <w:p>
      <w:pPr>
        <w:pStyle w:val="Heading3"/>
      </w:pPr>
      <w:r>
        <w:t xml:space="preserve">Completion percentage &amp; streak display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Per-habit completion % (right panel in the dashboard reference) = done days ÷ days elapsed since habit creation within the selected month.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Daily Completion footer = done habits that day ÷ total active (non-archived) habits on that day.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Streak flame icon + day count shown in the sidebar card, computed per Section 3.4 rules.</w:t>
      </w:r>
    </w:p>
    <w:p>
      <w:pPr>
        <w:pStyle w:val="Heading2"/>
      </w:pPr>
      <w:r>
        <w:t xml:space="preserve">4.4 Sleep Tracker</w:t>
      </w:r>
    </w:p>
    <w:p>
      <w:pPr>
        <w:spacing w:after="160" w:before="0" w:line="300"/>
        <w:jc w:val="left"/>
      </w:pPr>
      <w:r>
        <w:rPr>
          <w:color w:val="2B2433"/>
          <w:sz w:val="22"/>
          <w:szCs w:val="22"/>
        </w:rPr>
        <w:t xml:space="preserve">Reference shows a line chart (Recharts) with day-of-month on the x-axis and hours on the y-axis, a hover tooltip showing exact hours for the selected day, and an “Avg. Sleep” pill anchored bottom-left of the chart.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Logging interaction: tapping/clicking a date on the chart x-axis (or a small “+ Log sleep” affordance) opens an inline numeric stepper for hours, in 15-minute increments, defaulting to last night’s typical value.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Chart line uses the lavender accent (#8B6FC2-family) gradient-filled beneath, matching the reference’s soft purple area fill.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Month selector dropdown, top-right of the card, matches the reference’s “May 2025” dropdown.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History view (separate from the chart) is a simple reverse-chronological list, paginated by month, available from the Sleep nav item.</w:t>
      </w:r>
    </w:p>
    <w:p>
      <w:pPr>
        <w:pStyle w:val="Heading2"/>
      </w:pPr>
      <w:r>
        <w:t xml:space="preserve">4.5 Today's Summary &amp; Weekly Overview (right rail)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Donut chart (Recharts PieChart) showing completed/total habits today, with the fraction as center text (‘6/7 completed’ in the reference) — gradient ring from rose to lavender.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Habit Completion list: horizontal progress bars per habit for the current month, color matching that habit’s accent, sorted by the habit’s sortOrder (not by completion rate, to keep positions stable for the user).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Weekly Overview: four small stat cards — Avg. Sleep, Avg. Completion, Best Day, Current Streak — each with a tiny sparkline or icon, exactly as laid out in the reference.</w:t>
      </w:r>
    </w:p>
    <w:p>
      <w:pPr>
        <w:pStyle w:val="Heading2"/>
      </w:pPr>
      <w:r>
        <w:t xml:space="preserve">4.6 Analytics Dashboard</w:t>
      </w:r>
    </w:p>
    <w:p>
      <w:pPr>
        <w:spacing w:after="160" w:before="0" w:line="300"/>
        <w:jc w:val="left"/>
      </w:pPr>
      <w:r>
        <w:rPr>
          <w:color w:val="2B2433"/>
          <w:sz w:val="22"/>
          <w:szCs w:val="22"/>
        </w:rPr>
        <w:t xml:space="preserve">Built last (Section 6), since it aggregates data the other two features produce. Composition: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Weekly Progress line chart (small multiple of the main sleep chart pattern, applied to overall completion % instead of sleep hours).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Per-habit statistics table: completion %, current streak, longest streak, total days logged — sortable by column.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Monthly summary card: best day, most consistent habit, most-missed habit, total active days.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All charts reuse a single shared &lt;TrendChart&gt; component (Section 5.3) parameterized by data series, to avoid four bespoke chart implementations.</w:t>
      </w:r>
    </w:p>
    <w:p>
      <w:pPr>
        <w:pStyle w:val="Heading2"/>
      </w:pPr>
      <w:r>
        <w:t xml:space="preserve">4.7 Empty, Loading, and Onboarding States — resolved gap from original spec</w:t>
      </w:r>
    </w:p>
    <w:p>
      <w:pPr>
        <w:spacing w:after="160" w:before="0" w:line="300"/>
        <w:jc w:val="left"/>
      </w:pPr>
      <w:r>
        <w:rPr>
          <w:color w:val="2B2433"/>
          <w:sz w:val="22"/>
          <w:szCs w:val="22"/>
        </w:rPr>
        <w:t xml:space="preserve">First-run experience was missing from the original spec. Defined now: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First load with zero habits: the grid area is replaced with a centered illustration (in the visual language of the sidebar’s growth-tree card) plus a single “Create your first habit” button. No empty table is ever shown.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First load with habits but zero sleep entries: the Sleep Tracker chart area shows a friendly prompt (“Log your first night to start your trend”) instead of a flat empty chart.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Loading states use skeleton shimmer blocks shaped like the real components (grid rows, chart area) rather than spinners, to avoid layout jump.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A lightweight 3-step onboarding modal on first visit: name entry → pick 3 starter habits from a suggested list (or skip) → done. This populates Habit records and sets onboardingCompletedAt.</w:t>
      </w:r>
    </w:p>
    <w:p>
      <w:pPr>
        <w:pStyle w:val="Heading1"/>
      </w:pPr>
      <w:r>
        <w:t xml:space="preserve">5. Application Architecture</w:t>
      </w:r>
    </w:p>
    <w:p>
      <w:pPr>
        <w:pStyle w:val="Heading2"/>
      </w:pPr>
      <w:r>
        <w:t xml:space="preserve">5.1 Folder Structure</w:t>
      </w:r>
    </w:p>
    <w:p>
      <w:pPr>
        <w:spacing w:after="160" w:before="0" w:line="300"/>
        <w:jc w:val="left"/>
      </w:pPr>
      <w:r>
        <w:rPr>
          <w:color w:val="2B2433"/>
          <w:sz w:val="22"/>
          <w:szCs w:val="22"/>
        </w:rPr>
        <w:t xml:space="preserve">Feature-based organization, resolved from the original spec’s unstated “scalable architecture” goal. Shared UI primitives stay separate from feature logic so Phase 2—4 additions are additive, not invasive.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4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habitsense/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├── app/                          # Next.js App Router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│   ├── (dashboard)/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│   │   ├── page.tsx              # Dashboard (home)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│   │   ├── habits/page.tsx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│   │   ├── sleep/page.tsx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│   │   ├── analytics/page.tsx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│   │   └── layout.tsx            # Sidebar + topbar shell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│   ├── layout.tsx                # Root layout, theme provider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│   └── globals.css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├── features/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│   ├── habits/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│   │   ├── components/           # HabitGrid, HabitRow, AddHabitDialog…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│   │   ├── hooks/                # useHabits, useStreak, useHabitEntries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│   │   └── utils/                # streak.ts, completion.ts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│   ├── sleep/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│   │   ├── components/           # SleepChart, SleepLogger, SleepHistory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│   │   └── hooks/                # useSleepEntries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│   └── analytics/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│       ├── components/           # TrendChart, StatCard, SummaryPanel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│       └── hooks/                # useAnalytics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├── components/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│   ├── ui/                       # shadcn/ui primitives (button, dialog, etc.)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│   └── shared/                   # Sidebar, TopBar, EmptyState, Skeletons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├── lib/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│   ├── storage/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│   │   ├── types.ts              # Habit, HabitEntry, SleepEntry, AppMeta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│   │   ├── storage-adapter.ts    # interface definition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│   │   ├── local-storage-adapter.ts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│   │   ├── migrations.ts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│   │   └── storage-provider.tsx  # React context exposing useStorage()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│   └── utils/                    # date helpers, formatters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├── public/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│   └── illustrations/            # SVGs in the reference’s art style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├── next.config.js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├── tailwind.config.ts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└── manifest.json                 # PWA manifest</w:t>
            </w:r>
          </w:p>
        </w:tc>
      </w:tr>
    </w:tbl>
    <w:p>
      <w:pPr>
        <w:pStyle w:val="Heading2"/>
      </w:pPr>
      <w:r>
        <w:t xml:space="preserve">5.2 Data Flow</w:t>
      </w:r>
    </w:p>
    <w:p>
      <w:pPr>
        <w:spacing w:after="160" w:before="0" w:line="300"/>
        <w:jc w:val="left"/>
      </w:pPr>
      <w:r>
        <w:rPr>
          <w:color w:val="2B2433"/>
          <w:sz w:val="22"/>
          <w:szCs w:val="22"/>
        </w:rPr>
        <w:t xml:space="preserve">Single direction, no surprises: components call feature hooks → hooks call useStorage() → adapter reads/writes → React Query cache invalidates → components re-render.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4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UI Component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 │  calls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 ▼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Feature Hook (e.g. useHabitEntries)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 │  wraps a React Query useQuery/useMutation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 ▼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useStorage()  ─────▶  StorageAdapter (interface)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                            │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                  Phase 1:  LocalStorageAdapter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DE7F6"/>
                <w:sz w:val="18"/>
                <w:szCs w:val="18"/>
              </w:rPr>
              <w:t xml:space="preserve">                    Phase 2:  SupabaseAdapter   (drop-in swap)</w:t>
            </w:r>
          </w:p>
        </w:tc>
      </w:tr>
    </w:tbl>
    <w:p>
      <w:pPr>
        <w:spacing w:after="160" w:before="0" w:line="300"/>
        <w:jc w:val="left"/>
      </w:pPr>
      <w:r>
        <w:rPr>
          <w:color w:val="2B2433"/>
          <w:sz w:val="22"/>
          <w:szCs w:val="22"/>
        </w:rPr>
        <w:t xml:space="preserve">React Query (TanStack Query) is added to the stack here — it isn’t in the original tech list, but it’s the difference between “clean architecture” as a stated goal and clean architecture as a reality. It gives caching, optimistic updates (checkbox taps feel instant), and a consistent loading/error pattern for free, and its query-key model maps directly onto swapping adapters later.</w:t>
      </w:r>
    </w:p>
    <w:p>
      <w:pPr>
        <w:pStyle w:val="Heading2"/>
      </w:pPr>
      <w:r>
        <w:t xml:space="preserve">5.3 Key Shared Components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8B6FC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08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8B6FC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&lt;StorageProvider&gt;</w:t>
            </w:r>
          </w:p>
        </w:tc>
        <w:tc>
          <w:tcPr>
            <w:tcW w:type="dxa" w:w="708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Wraps the app; instantiates the active adapter; exposes useStorage()</w:t>
            </w:r>
          </w:p>
        </w:tc>
      </w:tr>
      <w:tr>
        <w:tc>
          <w:tcPr>
            <w:tcW w:type="dxa" w:w="300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&lt;HabitGrid&gt;</w:t>
            </w:r>
          </w:p>
        </w:tc>
        <w:tc>
          <w:tcPr>
            <w:tcW w:type="dxa" w:w="708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Desktop/tablet monthly grid — renders &lt;HabitRow&gt; × N</w:t>
            </w:r>
          </w:p>
        </w:tc>
      </w:tr>
      <w:tr>
        <w:tc>
          <w:tcPr>
            <w:tcW w:type="dxa" w:w="300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&lt;HabitDayList&gt;</w:t>
            </w:r>
          </w:p>
        </w:tc>
        <w:tc>
          <w:tcPr>
            <w:tcW w:type="dxa" w:w="708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Mobile single-day view — the resolved mobile pattern from 4.3</w:t>
            </w:r>
          </w:p>
        </w:tc>
      </w:tr>
      <w:tr>
        <w:tc>
          <w:tcPr>
            <w:tcW w:type="dxa" w:w="300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&lt;TrendChart&gt;</w:t>
            </w:r>
          </w:p>
        </w:tc>
        <w:tc>
          <w:tcPr>
            <w:tcW w:type="dxa" w:w="708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Generic Recharts line/area chart, reused for sleep + analytics trends</w:t>
            </w:r>
          </w:p>
        </w:tc>
      </w:tr>
      <w:tr>
        <w:tc>
          <w:tcPr>
            <w:tcW w:type="dxa" w:w="300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&lt;StatCard&gt;</w:t>
            </w:r>
          </w:p>
        </w:tc>
        <w:tc>
          <w:tcPr>
            <w:tcW w:type="dxa" w:w="708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Small metric card (icon, value, label, optional trend) — used across summary rails</w:t>
            </w:r>
          </w:p>
        </w:tc>
      </w:tr>
      <w:tr>
        <w:tc>
          <w:tcPr>
            <w:tcW w:type="dxa" w:w="300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&lt;EmptyState&gt;</w:t>
            </w:r>
          </w:p>
        </w:tc>
        <w:tc>
          <w:tcPr>
            <w:tcW w:type="dxa" w:w="708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Illustration + message + CTA, used for zero-habit / zero-sleep-data states</w:t>
            </w:r>
          </w:p>
        </w:tc>
      </w:tr>
      <w:tr>
        <w:tc>
          <w:tcPr>
            <w:tcW w:type="dxa" w:w="300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&lt;StreakBadge&gt;</w:t>
            </w:r>
          </w:p>
        </w:tc>
        <w:tc>
          <w:tcPr>
            <w:tcW w:type="dxa" w:w="708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Flame icon + day count, computed via the Section 3.4 streak utility</w:t>
            </w:r>
          </w:p>
        </w:tc>
      </w:tr>
    </w:tbl>
    <w:p>
      <w:pPr>
        <w:pStyle w:val="Heading1"/>
      </w:pPr>
      <w:r>
        <w:t xml:space="preserve">6. Build Methodology</w:t>
      </w:r>
    </w:p>
    <w:p>
      <w:pPr>
        <w:spacing w:after="160" w:before="0" w:line="300"/>
        <w:jc w:val="left"/>
      </w:pPr>
      <w:r>
        <w:rPr>
          <w:color w:val="2B2433"/>
          <w:sz w:val="22"/>
          <w:szCs w:val="22"/>
        </w:rPr>
        <w:t xml:space="preserve">Resolves the original spec’s missing build-order guidance. The sequencing logic: storage layer first (everything depends on it), habits before sleep (it’s the primary feature), analytics last (it consumes both).</w:t>
      </w:r>
    </w:p>
    <w:p>
      <w:pPr>
        <w:pStyle w:val="Heading2"/>
      </w:pPr>
      <w:r>
        <w:t xml:space="preserve">6.1 Recommended Build Order</w:t>
      </w:r>
    </w:p>
    <w:p>
      <w:pPr>
        <w:pStyle w:val="Heading3"/>
      </w:pPr>
      <w:r>
        <w:t xml:space="preserve">Stage 0 — Foundation (no visible UI yet)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B2433"/>
          <w:sz w:val="22"/>
          <w:szCs w:val="22"/>
        </w:rPr>
        <w:t xml:space="preserve">Scaffold Next.js + TypeScript + Tailwind + shadcn/ui. Configure the color tokens from Section 4.1 in tailwind.config.ts.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B2433"/>
          <w:sz w:val="22"/>
          <w:szCs w:val="22"/>
        </w:rPr>
        <w:t xml:space="preserve">Write lib/storage/types.ts and storage-adapter.ts — the interface, fully typed, before any implementation exists.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B2433"/>
          <w:sz w:val="22"/>
          <w:szCs w:val="22"/>
        </w:rPr>
        <w:t xml:space="preserve">Implement LocalStorageAdapter against that interface, plus the StorageProvider context.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B2433"/>
          <w:sz w:val="22"/>
          <w:szCs w:val="22"/>
        </w:rPr>
        <w:t xml:space="preserve">Write unit tests for the adapter (get/set/delete round-trips) before building UI against it — this catches schema mistakes while they’re still cheap to fix.</w:t>
      </w:r>
    </w:p>
    <w:p>
      <w:pPr>
        <w:pStyle w:val="Heading3"/>
      </w:pPr>
      <w:r>
        <w:t xml:space="preserve">Stage 1 — Habits (the core loop)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B2433"/>
          <w:sz w:val="22"/>
          <w:szCs w:val="22"/>
        </w:rPr>
        <w:t xml:space="preserve">Build &lt;HabitGrid&gt; and &lt;HabitRow&gt; against mock data first, matching the reference pixel-for-pixel before wiring real storage.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B2433"/>
          <w:sz w:val="22"/>
          <w:szCs w:val="22"/>
        </w:rPr>
        <w:t xml:space="preserve">Wire useHabits / useHabitEntries hooks to the real adapter.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B2433"/>
          <w:sz w:val="22"/>
          <w:szCs w:val="22"/>
        </w:rPr>
        <w:t xml:space="preserve">Implement the checkbox toggle interaction with optimistic updates.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B2433"/>
          <w:sz w:val="22"/>
          <w:szCs w:val="22"/>
        </w:rPr>
        <w:t xml:space="preserve">Add streak calculation (Section 3.4) and the &lt;StreakBadge&gt;.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B2433"/>
          <w:sz w:val="22"/>
          <w:szCs w:val="22"/>
        </w:rPr>
        <w:t xml:space="preserve">Build the mobile &lt;HabitDayList&gt; view and the responsive breakpoint switch.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B2433"/>
          <w:sz w:val="22"/>
          <w:szCs w:val="22"/>
        </w:rPr>
        <w:t xml:space="preserve">Add the Add/Edit/Archive habit dialog (10-habit cap enforced here).</w:t>
      </w:r>
    </w:p>
    <w:p>
      <w:pPr>
        <w:pStyle w:val="Heading3"/>
      </w:pPr>
      <w:r>
        <w:t xml:space="preserve">Stage 2 — Sleep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B2433"/>
          <w:sz w:val="22"/>
          <w:szCs w:val="22"/>
        </w:rPr>
        <w:t xml:space="preserve">Build the sleep logging interaction (numeric stepper) against mock data.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B2433"/>
          <w:sz w:val="22"/>
          <w:szCs w:val="22"/>
        </w:rPr>
        <w:t xml:space="preserve">Wire &lt;TrendChart&gt; to real sleep entries; add the average-sleep pill.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B2433"/>
          <w:sz w:val="22"/>
          <w:szCs w:val="22"/>
        </w:rPr>
        <w:t xml:space="preserve">Build the sleep history list view.</w:t>
      </w:r>
    </w:p>
    <w:p>
      <w:pPr>
        <w:pStyle w:val="Heading3"/>
      </w:pPr>
      <w:r>
        <w:t xml:space="preserve">Stage 3 — Dashboard composition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B2433"/>
          <w:sz w:val="22"/>
          <w:szCs w:val="22"/>
        </w:rPr>
        <w:t xml:space="preserve">Now that habits + sleep produce real data, assemble Today’s Summary, Habit Completion bars, and Weekly Overview — these are read-only views over Stage 1–2 data, not new data sources.</w:t>
      </w:r>
    </w:p>
    <w:p>
      <w:pPr>
        <w:pStyle w:val="Heading3"/>
      </w:pPr>
      <w:r>
        <w:t xml:space="preserve">Stage 4 — Analytics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B2433"/>
          <w:sz w:val="22"/>
          <w:szCs w:val="22"/>
        </w:rPr>
        <w:t xml:space="preserve">Build the analytics aggregation utilities (weekly/monthly rollups) as pure functions, unit-tested independently of any chart.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B2433"/>
          <w:sz w:val="22"/>
          <w:szCs w:val="22"/>
        </w:rPr>
        <w:t xml:space="preserve">Wire the Analytics page using the same &lt;TrendChart&gt; and &lt;StatCard&gt; components already built.</w:t>
      </w:r>
    </w:p>
    <w:p>
      <w:pPr>
        <w:pStyle w:val="Heading3"/>
      </w:pPr>
      <w:r>
        <w:t xml:space="preserve">Stage 5 — Polish pass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B2433"/>
          <w:sz w:val="22"/>
          <w:szCs w:val="22"/>
        </w:rPr>
        <w:t xml:space="preserve">Empty states, onboarding flow, skeleton loaders (Section 4.7).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B2433"/>
          <w:sz w:val="22"/>
          <w:szCs w:val="22"/>
        </w:rPr>
        <w:t xml:space="preserve">Framer Motion micro-interactions: checkbox fill animation, streak flame pulse, confetti-lite on hitting 100% for a day.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B2433"/>
          <w:sz w:val="22"/>
          <w:szCs w:val="22"/>
        </w:rPr>
        <w:t xml:space="preserve">PWA manifest + service worker for offline read access (Section 6.3).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B2433"/>
          <w:sz w:val="22"/>
          <w:szCs w:val="22"/>
        </w:rPr>
        <w:t xml:space="preserve">Accessibility pass: keyboard navigation through the grid, ARIA labels on checkboxes, color-blind-safe redundant icons alongside the color coding.</w:t>
      </w:r>
    </w:p>
    <w:p>
      <w:pPr>
        <w:pStyle w:val="Heading2"/>
      </w:pPr>
      <w:r>
        <w:t xml:space="preserve">6.2 Suggested Timeline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8B6FC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68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8B6FC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40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Week 1</w:t>
            </w:r>
          </w:p>
        </w:tc>
        <w:tc>
          <w:tcPr>
            <w:tcW w:type="dxa" w:w="768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Stage 0 — foundation, storage adapter, design tokens</w:t>
            </w:r>
          </w:p>
        </w:tc>
      </w:tr>
      <w:tr>
        <w:tc>
          <w:tcPr>
            <w:tcW w:type="dxa" w:w="240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Week 2</w:t>
            </w:r>
          </w:p>
        </w:tc>
        <w:tc>
          <w:tcPr>
            <w:tcW w:type="dxa" w:w="768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Stage 1 — habit grid (desktop), checkbox interactions, streaks</w:t>
            </w:r>
          </w:p>
        </w:tc>
      </w:tr>
      <w:tr>
        <w:tc>
          <w:tcPr>
            <w:tcW w:type="dxa" w:w="240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Week 3</w:t>
            </w:r>
          </w:p>
        </w:tc>
        <w:tc>
          <w:tcPr>
            <w:tcW w:type="dxa" w:w="768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Stage 1 cont. — mobile day view, habit CRUD, Stage 2 sleep tracker</w:t>
            </w:r>
          </w:p>
        </w:tc>
      </w:tr>
      <w:tr>
        <w:tc>
          <w:tcPr>
            <w:tcW w:type="dxa" w:w="240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Week 4</w:t>
            </w:r>
          </w:p>
        </w:tc>
        <w:tc>
          <w:tcPr>
            <w:tcW w:type="dxa" w:w="768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Stage 3 — dashboard composition, Stage 4 analytics</w:t>
            </w:r>
          </w:p>
        </w:tc>
      </w:tr>
      <w:tr>
        <w:tc>
          <w:tcPr>
            <w:tcW w:type="dxa" w:w="240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Week 5</w:t>
            </w:r>
          </w:p>
        </w:tc>
        <w:tc>
          <w:tcPr>
            <w:tcW w:type="dxa" w:w="768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Stage 5 — polish, onboarding, PWA, accessibility, deploy to Vercel</w:t>
            </w:r>
          </w:p>
        </w:tc>
      </w:tr>
    </w:tbl>
    <w:p>
      <w:pPr>
        <w:spacing w:before="280"/>
      </w:pPr>
    </w:p>
    <w:p>
      <w:pPr>
        <w:pStyle w:val="Heading2"/>
      </w:pPr>
      <w:r>
        <w:t xml:space="preserve">6.3 PWA Scope (resolved gap from original spec)</w:t>
      </w:r>
    </w:p>
    <w:p>
      <w:pPr>
        <w:spacing w:after="160" w:before="0" w:line="300"/>
        <w:jc w:val="left"/>
      </w:pPr>
      <w:r>
        <w:rPr>
          <w:color w:val="2B2433"/>
          <w:sz w:val="22"/>
          <w:szCs w:val="22"/>
        </w:rPr>
        <w:t xml:space="preserve">“PWA” was listed under Platform with no concrete requirements. Defined minimally for Phase 1: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manifest.json with app name, icons (192/512px, matching the reference’s sparkle mark), theme color, and standalone display mode — enables “Add to Home Screen.”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A service worker caching the app shell (JS/CSS/fonts) so the app opens instantly and previously-loaded data is viewable offline.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Writes (checking off a habit, logging sleep) work offline since they only touch LocalStorage — no network dependency exists in Phase 1, so there is no offline-sync queue to build yet. That complexity is deferred to Phase 2, when Supabase introduces an actual network round-trip.</w:t>
      </w:r>
    </w:p>
    <w:p>
      <w:pPr>
        <w:pStyle w:val="Heading1"/>
      </w:pPr>
      <w:r>
        <w:t xml:space="preserve">7. Tech Stack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8B6FC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2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8B6FC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336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Framework</w:t>
            </w:r>
          </w:p>
        </w:tc>
        <w:tc>
          <w:tcPr>
            <w:tcW w:type="dxa" w:w="672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Next.js (App Router) + TypeScript</w:t>
            </w:r>
          </w:p>
        </w:tc>
      </w:tr>
      <w:tr>
        <w:tc>
          <w:tcPr>
            <w:tcW w:type="dxa" w:w="336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Styling</w:t>
            </w:r>
          </w:p>
        </w:tc>
        <w:tc>
          <w:tcPr>
            <w:tcW w:type="dxa" w:w="672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Tailwind CSS + shadcn/ui component primitives</w:t>
            </w:r>
          </w:p>
        </w:tc>
      </w:tr>
      <w:tr>
        <w:tc>
          <w:tcPr>
            <w:tcW w:type="dxa" w:w="336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Animation</w:t>
            </w:r>
          </w:p>
        </w:tc>
        <w:tc>
          <w:tcPr>
            <w:tcW w:type="dxa" w:w="672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Framer Motion</w:t>
            </w:r>
          </w:p>
        </w:tc>
      </w:tr>
      <w:tr>
        <w:tc>
          <w:tcPr>
            <w:tcW w:type="dxa" w:w="336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Charts</w:t>
            </w:r>
          </w:p>
        </w:tc>
        <w:tc>
          <w:tcPr>
            <w:tcW w:type="dxa" w:w="672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Recharts (line/area for trends, pie/radial for the completion donut)</w:t>
            </w:r>
          </w:p>
        </w:tc>
      </w:tr>
      <w:tr>
        <w:tc>
          <w:tcPr>
            <w:tcW w:type="dxa" w:w="336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Data fetching / cache</w:t>
            </w:r>
          </w:p>
        </w:tc>
        <w:tc>
          <w:tcPr>
            <w:tcW w:type="dxa" w:w="672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TanStack Query — added in this doc; sits between hooks and the adapter</w:t>
            </w:r>
          </w:p>
        </w:tc>
      </w:tr>
      <w:tr>
        <w:tc>
          <w:tcPr>
            <w:tcW w:type="dxa" w:w="336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Storage (Phase 1)</w:t>
            </w:r>
          </w:p>
        </w:tc>
        <w:tc>
          <w:tcPr>
            <w:tcW w:type="dxa" w:w="672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Browser LocalStorage, behind StorageAdapter</w:t>
            </w:r>
          </w:p>
        </w:tc>
      </w:tr>
      <w:tr>
        <w:tc>
          <w:tcPr>
            <w:tcW w:type="dxa" w:w="336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Storage (Phase 2)</w:t>
            </w:r>
          </w:p>
        </w:tc>
        <w:tc>
          <w:tcPr>
            <w:tcW w:type="dxa" w:w="672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Supabase — same adapter interface, new implementation</w:t>
            </w:r>
          </w:p>
        </w:tc>
      </w:tr>
      <w:tr>
        <w:tc>
          <w:tcPr>
            <w:tcW w:type="dxa" w:w="336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72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336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Platform</w:t>
            </w:r>
          </w:p>
        </w:tc>
        <w:tc>
          <w:tcPr>
            <w:tcW w:type="dxa" w:w="672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Responsive website + installable PWA</w:t>
            </w:r>
          </w:p>
        </w:tc>
      </w:tr>
    </w:tbl>
    <w:p>
      <w:pPr>
        <w:spacing w:before="280"/>
      </w:pPr>
    </w:p>
    <w:p>
      <w:pPr>
        <w:pStyle w:val="Heading2"/>
      </w:pPr>
      <w:r>
        <w:t xml:space="preserve">7.1 Notable additions vs. the original tech list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TanStack Query — not originally listed, added because it’s what makes the StorageAdapter swap in Phase 2 actually painless rather than theoretically painless.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lucide-react for icons — pairs naturally with shadcn/ui and matches the simple line-icon style visible in the reference sidebar (home, sprout, moon, bar-chart icons).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433"/>
          <w:sz w:val="22"/>
          <w:szCs w:val="22"/>
        </w:rPr>
        <w:t xml:space="preserve">date-fns for all date math (streaks, month grids, week boundaries) — avoids hand-rolled calendar bugs, which are the single most common source of off-by-one errors in habit trackers.</w:t>
      </w:r>
    </w:p>
    <w:p>
      <w:pPr>
        <w:pStyle w:val="Heading1"/>
      </w:pPr>
      <w:r>
        <w:t xml:space="preserve">8. Summary — Gaps Closed From the Original Spec</w:t>
      </w:r>
    </w:p>
    <w:p>
      <w:pPr>
        <w:spacing w:after="160" w:before="0" w:line="300"/>
        <w:jc w:val="left"/>
      </w:pPr>
      <w:r>
        <w:rPr>
          <w:color w:val="2B2433"/>
          <w:sz w:val="22"/>
          <w:szCs w:val="22"/>
        </w:rPr>
        <w:t xml:space="preserve">For traceability, every ambiguity flagged in the original spec review is resolved at a specific section in this document: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280"/>
      </w:tblGrid>
      <w:tr>
        <w:tc>
          <w:tcPr>
            <w:tcW w:type="dxa" w:w="480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8B6FC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Original Gap</w:t>
            </w:r>
          </w:p>
        </w:tc>
        <w:tc>
          <w:tcPr>
            <w:tcW w:type="dxa" w:w="528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8B6FC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Resolved In</w:t>
            </w:r>
          </w:p>
        </w:tc>
      </w:tr>
      <w:tr>
        <w:tc>
          <w:tcPr>
            <w:tcW w:type="dxa" w:w="480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LocalStorage → future cloud sync abstraction</w:t>
            </w:r>
          </w:p>
        </w:tc>
        <w:tc>
          <w:tcPr>
            <w:tcW w:type="dxa" w:w="528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Section 3.2 — StorageAdapter interface</w:t>
            </w:r>
          </w:p>
        </w:tc>
      </w:tr>
      <w:tr>
        <w:tc>
          <w:tcPr>
            <w:tcW w:type="dxa" w:w="480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Schema versioning / migration story</w:t>
            </w:r>
          </w:p>
        </w:tc>
        <w:tc>
          <w:tcPr>
            <w:tcW w:type="dxa" w:w="528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Section 3.5</w:t>
            </w:r>
          </w:p>
        </w:tc>
      </w:tr>
      <w:tr>
        <w:tc>
          <w:tcPr>
            <w:tcW w:type="dxa" w:w="480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10×31 grid breaking on mobile</w:t>
            </w:r>
          </w:p>
        </w:tc>
        <w:tc>
          <w:tcPr>
            <w:tcW w:type="dxa" w:w="528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Section 4.3 — dedicated mobile day-list view</w:t>
            </w:r>
          </w:p>
        </w:tc>
      </w:tr>
      <w:tr>
        <w:tc>
          <w:tcPr>
            <w:tcW w:type="dxa" w:w="480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Streak rule edge cases</w:t>
            </w:r>
          </w:p>
        </w:tc>
        <w:tc>
          <w:tcPr>
            <w:tcW w:type="dxa" w:w="528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Section 3.4</w:t>
            </w:r>
          </w:p>
        </w:tc>
      </w:tr>
      <w:tr>
        <w:tc>
          <w:tcPr>
            <w:tcW w:type="dxa" w:w="480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Missing onboarding / empty states</w:t>
            </w:r>
          </w:p>
        </w:tc>
        <w:tc>
          <w:tcPr>
            <w:tcW w:type="dxa" w:w="528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Section 4.7</w:t>
            </w:r>
          </w:p>
        </w:tc>
      </w:tr>
      <w:tr>
        <w:tc>
          <w:tcPr>
            <w:tcW w:type="dxa" w:w="480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Build sequencing (analytics depends on other data)</w:t>
            </w:r>
          </w:p>
        </w:tc>
        <w:tc>
          <w:tcPr>
            <w:tcW w:type="dxa" w:w="528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Section 6.1, Stage 3–4</w:t>
            </w:r>
          </w:p>
        </w:tc>
      </w:tr>
      <w:tr>
        <w:tc>
          <w:tcPr>
            <w:tcW w:type="dxa" w:w="480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PWA requirements unspecified</w:t>
            </w:r>
          </w:p>
        </w:tc>
        <w:tc>
          <w:tcPr>
            <w:tcW w:type="dxa" w:w="528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Section 6.3</w:t>
            </w:r>
          </w:p>
        </w:tc>
      </w:tr>
      <w:tr>
        <w:tc>
          <w:tcPr>
            <w:tcW w:type="dxa" w:w="480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No stated component/folder architecture</w:t>
            </w:r>
          </w:p>
        </w:tc>
        <w:tc>
          <w:tcPr>
            <w:tcW w:type="dxa" w:w="528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8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Section 5.1</w:t>
            </w:r>
          </w:p>
        </w:tc>
      </w:tr>
      <w:tr>
        <w:tc>
          <w:tcPr>
            <w:tcW w:type="dxa" w:w="480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352B42"/>
                <w:sz w:val="20"/>
                <w:szCs w:val="20"/>
              </w:rPr>
              <w:t xml:space="preserve">Completion % vs. daily completion score overlap</w:t>
            </w:r>
          </w:p>
        </w:tc>
        <w:tc>
          <w:tcPr>
            <w:tcW w:type="dxa" w:w="5280"/>
            <w:tcBorders>
              <w:top w:val="single" w:color="E4DCEF" w:sz="4"/>
              <w:left w:val="single" w:color="E4DCEF" w:sz="4"/>
              <w:bottom w:val="single" w:color="E4DCEF" w:sz="4"/>
              <w:right w:val="single" w:color="E4DCE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2B2433"/>
                <w:sz w:val="20"/>
                <w:szCs w:val="20"/>
              </w:rPr>
              <w:t xml:space="preserve">Section 4.3 — explicit formulas for each</w:t>
            </w:r>
          </w:p>
        </w:tc>
      </w:tr>
    </w:tbl>
    <w:p>
      <w:pPr>
        <w:spacing w:before="3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7FA787" w:sz="24"/>
              <w:bottom w:val="none" w:color="FFFFFF" w:sz="0"/>
              <w:right w:val="none" w:color="FFFFFF" w:sz="0"/>
            </w:tcBorders>
            <w:shd w:fill="F8F5F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352B42"/>
                <w:sz w:val="22"/>
                <w:szCs w:val="22"/>
              </w:rPr>
              <w:t xml:space="preserve">Next step</w:t>
            </w:r>
          </w:p>
          <w:p>
            <w:pPr>
              <w:spacing w:after="0" w:line="290"/>
            </w:pPr>
            <w:r>
              <w:rPr>
                <w:color w:val="2B2433"/>
                <w:sz w:val="21"/>
                <w:szCs w:val="21"/>
              </w:rPr>
              <w:t xml:space="preserve">With this document as the spec, the natural next artifact is a starter repo: Next.js scaffolded with the folder structure from Section 5.1, the StorageAdapter interface and LocalStorageAdapter implemented and tested, and the design tokens from Section 4.1 wired into Tailwind — ready for Stage 1 component work to begin directly.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275"/>
        <w:sz w:val="16"/>
        <w:szCs w:val="16"/>
      </w:rPr>
      <w:t xml:space="preserve">Page </w:t>
    </w:r>
    <w:r>
      <w:rPr>
        <w:color w:val="6B62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275"/>
        <w:sz w:val="16"/>
        <w:szCs w:val="16"/>
      </w:rPr>
      <w:t xml:space="preserve"> of </w:t>
    </w:r>
    <w:r>
      <w:rPr>
        <w:color w:val="6B62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DCEF" w:sz="4" w:space="4"/>
      </w:pBdr>
      <w:tabs>
        <w:tab w:val="right" w:pos="9026"/>
      </w:tabs>
    </w:pPr>
    <w:r>
      <w:rPr>
        <w:b/>
        <w:bCs/>
        <w:color w:val="6B6275"/>
        <w:sz w:val="16"/>
        <w:szCs w:val="16"/>
      </w:rPr>
      <w:t xml:space="preserve">HabitSense</w:t>
    </w:r>
    <w:r>
      <w:rPr>
        <w:color w:val="6B6275"/>
        <w:sz w:val="16"/>
        <w:szCs w:val="16"/>
      </w:rPr>
      <w:t xml:space="preserve">	Build Methodology &amp; Product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  <w:lvl w:ilvl="1" w15:tentative="1">
      <w:start w:val="1"/>
      <w:numFmt w:val="bullet"/>
      <w:lvlText w:val="–"/>
      <w:lvlJc w:val="left"/>
      <w:pPr>
        <w:ind w:left="9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4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8B6FC2" w:sz="8" w:space="4"/>
      </w:pBdr>
      <w:spacing w:after="220" w:before="320"/>
      <w:outlineLvl w:val="0"/>
    </w:pPr>
    <w:rPr>
      <w:rFonts w:ascii="Arial" w:cs="Arial" w:eastAsia="Arial" w:hAnsi="Arial"/>
      <w:b/>
      <w:bCs/>
      <w:color w:val="352B4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52B42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8B6FC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98361660059efa73be9e10e5211b0d24f93c901.png"/><Relationship Id="rId10" Type="http://schemas.openxmlformats.org/officeDocument/2006/relationships/image" Target="media/7fa20a96759af9f429c5ef20dce533a1e67845d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HabitSense — Build Methodology &amp; Product Specification</dc:title>
  <dc:creator>Claude</dc:creator>
  <cp:lastModifiedBy>Un-named</cp:lastModifiedBy>
  <cp:revision>1</cp:revision>
  <dcterms:created xsi:type="dcterms:W3CDTF">2026-06-24T18:53:21.424Z</dcterms:created>
  <dcterms:modified xsi:type="dcterms:W3CDTF">2026-06-24T18:53:21.424Z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