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400"/>
      </w:pPr>
    </w:p>
    <w:p>
      <w:pPr>
        <w:pBdr>
          <w:top w:val="single" w:color="B0B0B0" w:sz="6"/>
          <w:bottom w:val="single" w:color="B0B0B0" w:sz="6"/>
          <w:left w:val="single" w:color="B0B0B0" w:sz="6"/>
          <w:right w:val="single" w:color="B0B0B0" w:sz="6"/>
        </w:pBdr>
        <w:shd w:fill="FAFAFA" w:val="clear"/>
        <w:spacing w:after="160"/>
        <w:jc w:val="center"/>
      </w:pPr>
      <w:r>
        <w:rPr>
          <w:rFonts w:ascii="Calibri" w:cs="Calibri" w:eastAsia="Calibri" w:hAnsi="Calibri"/>
          <w:sz w:val="20"/>
          <w:szCs w:val="20"/>
        </w:rPr>
        <w:t xml:space="preserve">  </w:t>
      </w:r>
    </w:p>
    <w:p>
      <w:pPr>
        <w:spacing w:after="40"/>
        <w:jc w:val="center"/>
      </w:pPr>
      <w:r>
        <w:rPr>
          <w:rFonts w:ascii="Calibri" w:cs="Calibri" w:eastAsia="Calibri" w:hAnsi="Calibri"/>
          <w:i/>
          <w:iCs/>
          <w:color w:val="999999"/>
          <w:sz w:val="18"/>
          <w:szCs w:val="18"/>
        </w:rPr>
        <w:t xml:space="preserve">[University Logo]</w:t>
      </w:r>
    </w:p>
    <w:p>
      <w:pPr>
        <w:spacing w:after="60" w:before="260"/>
        <w:jc w:val="center"/>
      </w:pPr>
      <w:r>
        <w:rPr>
          <w:rFonts w:ascii="Calibri" w:cs="Calibri" w:eastAsia="Calibri" w:hAnsi="Calibri"/>
          <w:b/>
          <w:bCs/>
          <w:color w:val="1F3864"/>
          <w:sz w:val="30"/>
          <w:szCs w:val="30"/>
        </w:rPr>
        <w:t xml:space="preserve">INDIAN INSTITUTE OF TECHNOLOGY JAMMU</w:t>
      </w:r>
    </w:p>
    <w:p>
      <w:pPr>
        <w:spacing w:after="320"/>
        <w:jc w:val="center"/>
      </w:pPr>
      <w:r>
        <w:rPr>
          <w:rFonts w:ascii="Calibri" w:cs="Calibri" w:eastAsia="Calibri" w:hAnsi="Calibri"/>
          <w:i/>
          <w:iCs/>
          <w:color w:val="595959"/>
          <w:sz w:val="22"/>
          <w:szCs w:val="22"/>
        </w:rPr>
        <w:t xml:space="preserve">Summer School on Generative AI &amp; Large Language Models</w:t>
      </w:r>
    </w:p>
    <w:p>
      <w:pPr>
        <w:pBdr>
          <w:bottom w:val="single" w:color="1F3864" w:sz="16"/>
        </w:pBdr>
        <w:spacing w:after="200"/>
      </w:pPr>
    </w:p>
    <w:p>
      <w:pPr>
        <w:spacing w:before="500"/>
      </w:pPr>
    </w:p>
    <w:p>
      <w:pPr>
        <w:spacing w:after="260"/>
        <w:jc w:val="center"/>
      </w:pPr>
      <w:r>
        <w:rPr>
          <w:rFonts w:ascii="Calibri" w:cs="Calibri" w:eastAsia="Calibri" w:hAnsi="Calibri"/>
          <w:b/>
          <w:bCs/>
          <w:color w:val="44546A"/>
          <w:sz w:val="24"/>
          <w:szCs w:val="24"/>
        </w:rPr>
        <w:t xml:space="preserve">A PROJECT REPORT ON</w:t>
      </w:r>
    </w:p>
    <w:p>
      <w:pPr>
        <w:spacing w:after="140"/>
        <w:jc w:val="center"/>
      </w:pPr>
      <w:r>
        <w:rPr>
          <w:rFonts w:ascii="Calibri" w:cs="Calibri" w:eastAsia="Calibri" w:hAnsi="Calibri"/>
          <w:b/>
          <w:bCs/>
          <w:color w:val="1F3864"/>
          <w:sz w:val="40"/>
          <w:szCs w:val="40"/>
        </w:rPr>
        <w:t xml:space="preserve">AI Research Assistant using n8n and Large Language Models</w:t>
      </w:r>
    </w:p>
    <w:p>
      <w:pPr>
        <w:spacing w:after="500"/>
        <w:jc w:val="center"/>
      </w:pPr>
      <w:r>
        <w:rPr>
          <w:rFonts w:ascii="Calibri" w:cs="Calibri" w:eastAsia="Calibri" w:hAnsi="Calibri"/>
          <w:i/>
          <w:iCs/>
          <w:color w:val="595959"/>
          <w:sz w:val="22"/>
          <w:szCs w:val="22"/>
        </w:rPr>
        <w:t xml:space="preserve">An Automated Literature Discovery, Analysis and Recommendation Pipeline Built with n8n Workflow Automation and GPT-5 Mini</w:t>
      </w:r>
    </w:p>
    <w:p>
      <w:pPr>
        <w:pBdr>
          <w:bottom w:val="single" w:color="B0B0B0" w:sz="8"/>
        </w:pBdr>
        <w:spacing w:after="200"/>
      </w:pPr>
    </w:p>
    <w:p>
      <w:pPr>
        <w:spacing w:after="120" w:before="300"/>
        <w:jc w:val="center"/>
      </w:pPr>
      <w:r>
        <w:rPr>
          <w:rFonts w:ascii="Calibri" w:cs="Calibri" w:eastAsia="Calibri" w:hAnsi="Calibri"/>
          <w:sz w:val="22"/>
          <w:szCs w:val="22"/>
        </w:rPr>
        <w:t xml:space="preserve">Submitted in partial fulfilment of the requirements of</w:t>
      </w:r>
    </w:p>
    <w:p>
      <w:pPr>
        <w:spacing w:after="500"/>
        <w:jc w:val="center"/>
      </w:pPr>
      <w:r>
        <w:rPr>
          <w:rFonts w:ascii="Calibri" w:cs="Calibri" w:eastAsia="Calibri" w:hAnsi="Calibri"/>
          <w:b/>
          <w:bCs/>
          <w:color w:val="1F3864"/>
          <w:sz w:val="24"/>
          <w:szCs w:val="24"/>
        </w:rPr>
        <w:t xml:space="preserve">Summer School – Generative AI &amp; LLMs</w:t>
      </w:r>
    </w:p>
    <w:p>
      <w:pPr>
        <w:spacing w:after="500"/>
      </w:pPr>
    </w:p>
    <w:p>
      <w:pPr>
        <w:spacing w:after="130"/>
        <w:jc w:val="center"/>
      </w:pPr>
      <w:r>
        <w:rPr>
          <w:rFonts w:ascii="Calibri" w:cs="Calibri" w:eastAsia="Calibri" w:hAnsi="Calibri"/>
          <w:b/>
          <w:bCs/>
          <w:color w:val="1F3864"/>
          <w:sz w:val="22"/>
          <w:szCs w:val="22"/>
        </w:rPr>
        <w:t xml:space="preserve">Submitted By:  </w:t>
      </w:r>
      <w:r>
        <w:rPr>
          <w:rFonts w:ascii="Calibri" w:cs="Calibri" w:eastAsia="Calibri" w:hAnsi="Calibri"/>
          <w:b/>
          <w:bCs/>
          <w:color w:val="000000"/>
          <w:sz w:val="22"/>
          <w:szCs w:val="22"/>
        </w:rPr>
        <w:t xml:space="preserve">Palak Gupta</w:t>
      </w:r>
    </w:p>
    <w:p>
      <w:pPr>
        <w:spacing w:after="130"/>
        <w:jc w:val="center"/>
      </w:pPr>
      <w:r>
        <w:rPr>
          <w:rFonts w:ascii="Calibri" w:cs="Calibri" w:eastAsia="Calibri" w:hAnsi="Calibri"/>
          <w:b/>
          <w:bCs/>
          <w:color w:val="1F3864"/>
          <w:sz w:val="22"/>
          <w:szCs w:val="22"/>
        </w:rPr>
        <w:t xml:space="preserve">University:  </w:t>
      </w:r>
      <w:r>
        <w:rPr>
          <w:rFonts w:ascii="Calibri" w:cs="Calibri" w:eastAsia="Calibri" w:hAnsi="Calibri"/>
          <w:b/>
          <w:bCs/>
          <w:color w:val="000000"/>
          <w:sz w:val="22"/>
          <w:szCs w:val="22"/>
        </w:rPr>
        <w:t xml:space="preserve">IIT Jammu</w:t>
      </w:r>
    </w:p>
    <w:p>
      <w:pPr>
        <w:spacing w:after="130"/>
        <w:jc w:val="center"/>
      </w:pPr>
      <w:r>
        <w:rPr>
          <w:rFonts w:ascii="Calibri" w:cs="Calibri" w:eastAsia="Calibri" w:hAnsi="Calibri"/>
          <w:b/>
          <w:bCs/>
          <w:color w:val="1F3864"/>
          <w:sz w:val="22"/>
          <w:szCs w:val="22"/>
        </w:rPr>
        <w:t xml:space="preserve">Department / Course:  </w:t>
      </w:r>
      <w:r>
        <w:rPr>
          <w:rFonts w:ascii="Calibri" w:cs="Calibri" w:eastAsia="Calibri" w:hAnsi="Calibri"/>
          <w:b/>
          <w:bCs/>
          <w:color w:val="000000"/>
          <w:sz w:val="22"/>
          <w:szCs w:val="22"/>
        </w:rPr>
        <w:t xml:space="preserve">Summer School – Generative AI &amp; LLMs</w:t>
      </w:r>
    </w:p>
    <w:p>
      <w:pPr>
        <w:spacing w:after="130"/>
        <w:jc w:val="center"/>
      </w:pPr>
      <w:r>
        <w:rPr>
          <w:rFonts w:ascii="Calibri" w:cs="Calibri" w:eastAsia="Calibri" w:hAnsi="Calibri"/>
          <w:b/>
          <w:bCs/>
          <w:color w:val="1F3864"/>
          <w:sz w:val="22"/>
          <w:szCs w:val="22"/>
        </w:rPr>
        <w:t xml:space="preserve">Guide:  </w:t>
      </w:r>
      <w:r>
        <w:rPr>
          <w:rFonts w:ascii="Calibri" w:cs="Calibri" w:eastAsia="Calibri" w:hAnsi="Calibri"/>
          <w:b/>
          <w:bCs/>
          <w:color w:val="000000"/>
          <w:sz w:val="22"/>
          <w:szCs w:val="22"/>
        </w:rPr>
        <w:t xml:space="preserve">Parmveer Nandal</w:t>
      </w:r>
    </w:p>
    <w:p>
      <w:pPr>
        <w:spacing w:after="130"/>
        <w:jc w:val="center"/>
      </w:pPr>
      <w:r>
        <w:rPr>
          <w:rFonts w:ascii="Calibri" w:cs="Calibri" w:eastAsia="Calibri" w:hAnsi="Calibri"/>
          <w:b/>
          <w:bCs/>
          <w:color w:val="1F3864"/>
          <w:sz w:val="22"/>
          <w:szCs w:val="22"/>
        </w:rPr>
        <w:t xml:space="preserve">Submission Date:  </w:t>
      </w:r>
      <w:r>
        <w:rPr>
          <w:rFonts w:ascii="Calibri" w:cs="Calibri" w:eastAsia="Calibri" w:hAnsi="Calibri"/>
          <w:b/>
          <w:bCs/>
          <w:color w:val="000000"/>
          <w:sz w:val="22"/>
          <w:szCs w:val="22"/>
        </w:rPr>
        <w:t xml:space="preserve">________________________</w:t>
      </w:r>
    </w:p>
    <w:p>
      <w:pPr>
        <w:spacing w:before="500"/>
      </w:pPr>
    </w:p>
    <w:p>
      <w:pPr>
        <w:pBdr>
          <w:bottom w:val="single" w:color="1F3864" w:sz="12"/>
        </w:pBdr>
        <w:spacing w:after="200"/>
      </w:pPr>
    </w:p>
    <w:p>
      <w:r>
        <w:br w:type="page"/>
      </w:r>
    </w:p>
    <w:p>
      <w:pPr>
        <w:pStyle w:val="Heading1"/>
        <w:spacing w:after="200" w:before="360"/>
      </w:pPr>
      <w:r>
        <w:rPr>
          <w:rFonts w:ascii="Calibri" w:cs="Calibri" w:eastAsia="Calibri" w:hAnsi="Calibri"/>
          <w:b/>
          <w:bCs/>
          <w:color w:val="1F3864"/>
          <w:sz w:val="32"/>
          <w:szCs w:val="32"/>
        </w:rPr>
        <w:t xml:space="preserve">Table of Contents</w:t>
      </w:r>
    </w:p>
    <w:sdt>
      <w:sdtPr>
        <w:alias w:val="Table of Contents"/>
      </w:sdtPr>
      <w:sdtContent>
        <w:p>
          <w:r>
            <w:fldChar w:fldCharType="begin" w:dirty="true"/>
            <w:instrText xml:space="preserve">TOC \h \o "1-3"</w:instrText>
            <w:fldChar w:fldCharType="separate"/>
          </w:r>
        </w:p>
        <w:p>
          <w:r>
            <w:fldChar w:fldCharType="end"/>
          </w:r>
        </w:p>
      </w:sdtContent>
    </w:sdt>
    <w:p>
      <w:r>
        <w:br w:type="page"/>
      </w:r>
    </w:p>
    <w:p>
      <w:pPr>
        <w:pStyle w:val="Heading1"/>
        <w:spacing w:after="200" w:before="360"/>
      </w:pPr>
      <w:r>
        <w:rPr>
          <w:rFonts w:ascii="Calibri" w:cs="Calibri" w:eastAsia="Calibri" w:hAnsi="Calibri"/>
          <w:b/>
          <w:bCs/>
          <w:color w:val="1F3864"/>
          <w:sz w:val="32"/>
          <w:szCs w:val="32"/>
        </w:rPr>
        <w:t xml:space="preserve">Abstract</w:t>
      </w:r>
    </w:p>
    <w:p>
      <w:pPr>
        <w:spacing w:after="160" w:line="276"/>
        <w:jc w:val="both"/>
      </w:pPr>
      <w:r>
        <w:rPr>
          <w:rFonts w:ascii="Calibri" w:cs="Calibri" w:eastAsia="Calibri" w:hAnsi="Calibri"/>
          <w:b w:val="false"/>
          <w:bCs w:val="false"/>
          <w:i w:val="false"/>
          <w:iCs w:val="false"/>
          <w:sz w:val="22"/>
          <w:szCs w:val="22"/>
        </w:rPr>
        <w:t xml:space="preserve">Academic literature review is a foundational but time-consuming activity in any research process. Researchers routinely spend a disproportionate share of their available time locating relevant publications, reading abstracts, extracting key findings, and cross-referencing multiple papers before they can even begin to form an original research direction. This project presents an AI Research Assistant, an automated research-support pipeline built entirely using the n8n workflow automation platform in combination with OpenAI's GPT-5 Mini large language model.</w:t>
      </w:r>
    </w:p>
    <w:p>
      <w:pPr>
        <w:spacing w:after="160" w:line="276"/>
        <w:jc w:val="both"/>
      </w:pPr>
      <w:r>
        <w:rPr>
          <w:rFonts w:ascii="Calibri" w:cs="Calibri" w:eastAsia="Calibri" w:hAnsi="Calibri"/>
          <w:b w:val="false"/>
          <w:bCs w:val="false"/>
          <w:i w:val="false"/>
          <w:iCs w:val="false"/>
          <w:sz w:val="22"/>
          <w:szCs w:val="22"/>
        </w:rPr>
        <w:t xml:space="preserve">The system is implemented as three interconnected n8n workflows. The first workflow, Research Paper Discovery &amp; AI Analysis, is triggered through a web-based form in which a user specifies a research topic, optional keywords, a research goal, the desired number of papers, and an email address. This workflow queries the arXiv API for matching publications, parses the returned XML feed, and passes each paper's title and abstract to a GPT-5 Mini powered analysis chain that produces a structured summary, key findings, keywords, and identified research gaps. The processed records are stored in a Google Sheet that functions as a persistent research repository. In parallel, the same form submission invokes a second workflow, AI Related Paper Recommendation Engine, which queries the OpenAlex scholarly database and uses an LLM chain to score each returned paper for relevance to the stated research topic. Finally, the aggregated set of AI-analysed papers is passed to a third workflow, Research Insight Generator, which produces a consolidated analysis covering key themes, research trends, research gaps, cross-paper insights and future research directions. The first workflow then compiles this insight data into a final structured research report and emails it directly to the requesting user through Gmail.</w:t>
      </w:r>
    </w:p>
    <w:p>
      <w:pPr>
        <w:spacing w:after="160" w:line="276"/>
        <w:jc w:val="both"/>
      </w:pPr>
      <w:r>
        <w:rPr>
          <w:rFonts w:ascii="Calibri" w:cs="Calibri" w:eastAsia="Calibri" w:hAnsi="Calibri"/>
          <w:b w:val="false"/>
          <w:bCs w:val="false"/>
          <w:i w:val="false"/>
          <w:iCs w:val="false"/>
          <w:sz w:val="22"/>
          <w:szCs w:val="22"/>
        </w:rPr>
        <w:t xml:space="preserve">The technologies used include n8n as the automation and orchestration engine, GPT-5 Mini as the underlying large language model accessed through the LangChain nodes for n8n, the arXiv API and OpenAlex API as the two literature data sources, Google Sheets as the storage layer, and Gmail as the delivery channel. The project demonstrates how workflow automation tools can be combined with large language models to build a modular, low-code research support system that reduces the manual effort involved in literature discovery, summarisation and insight generation, while keeping every step transparent, inspectable and reproducible through the visual n8n canvas.</w:t>
      </w:r>
    </w:p>
    <w:p>
      <w:r>
        <w:br w:type="page"/>
      </w:r>
    </w:p>
    <w:p>
      <w:pPr>
        <w:pStyle w:val="Heading1"/>
        <w:spacing w:after="200" w:before="360"/>
      </w:pPr>
      <w:r>
        <w:rPr>
          <w:rFonts w:ascii="Calibri" w:cs="Calibri" w:eastAsia="Calibri" w:hAnsi="Calibri"/>
          <w:b/>
          <w:bCs/>
          <w:color w:val="1F3864"/>
          <w:sz w:val="32"/>
          <w:szCs w:val="32"/>
        </w:rPr>
        <w:t xml:space="preserve">Introduction</w:t>
      </w:r>
    </w:p>
    <w:p>
      <w:pPr>
        <w:pStyle w:val="Heading2"/>
        <w:spacing w:after="160" w:before="280"/>
      </w:pPr>
      <w:r>
        <w:rPr>
          <w:rFonts w:ascii="Calibri" w:cs="Calibri" w:eastAsia="Calibri" w:hAnsi="Calibri"/>
          <w:b/>
          <w:bCs/>
          <w:color w:val="2E5395"/>
          <w:sz w:val="26"/>
          <w:szCs w:val="26"/>
        </w:rPr>
        <w:t xml:space="preserve">4.1 Background</w:t>
      </w:r>
    </w:p>
    <w:p>
      <w:pPr>
        <w:spacing w:after="160" w:line="276"/>
        <w:jc w:val="both"/>
      </w:pPr>
      <w:r>
        <w:rPr>
          <w:rFonts w:ascii="Calibri" w:cs="Calibri" w:eastAsia="Calibri" w:hAnsi="Calibri"/>
          <w:b w:val="false"/>
          <w:bCs w:val="false"/>
          <w:i w:val="false"/>
          <w:iCs w:val="false"/>
          <w:sz w:val="22"/>
          <w:szCs w:val="22"/>
        </w:rPr>
        <w:t xml:space="preserve">The volume of academic literature published every year continues to grow at a pace that makes manual review increasingly difficult. Databases such as arXiv and OpenAlex index millions of scholarly works across scientific disciplines, and a researcher beginning a new project or literature survey must sift through a large number of candidate papers before identifying the small subset that is genuinely relevant to their work. At the same time, recent advances in large language models have made it possible to automatically read, summarise and reason over natural-language text such as paper abstracts. Combining these language models with no-code or low-code workflow automation platforms such as n8n opens the possibility of building end-to-end research assistance tools without writing a full backend application from scratch.</w:t>
      </w:r>
    </w:p>
    <w:p>
      <w:pPr>
        <w:pStyle w:val="Heading2"/>
        <w:spacing w:after="160" w:before="280"/>
      </w:pPr>
      <w:r>
        <w:rPr>
          <w:rFonts w:ascii="Calibri" w:cs="Calibri" w:eastAsia="Calibri" w:hAnsi="Calibri"/>
          <w:b/>
          <w:bCs/>
          <w:color w:val="2E5395"/>
          <w:sz w:val="26"/>
          <w:szCs w:val="26"/>
        </w:rPr>
        <w:t xml:space="preserve">4.2 Why Research Automation Is Needed</w:t>
      </w:r>
    </w:p>
    <w:p>
      <w:pPr>
        <w:spacing w:after="160" w:line="276"/>
        <w:jc w:val="both"/>
      </w:pPr>
      <w:r>
        <w:rPr>
          <w:rFonts w:ascii="Calibri" w:cs="Calibri" w:eastAsia="Calibri" w:hAnsi="Calibri"/>
          <w:b w:val="false"/>
          <w:bCs w:val="false"/>
          <w:i w:val="false"/>
          <w:iCs w:val="false"/>
          <w:sz w:val="22"/>
          <w:szCs w:val="22"/>
        </w:rPr>
        <w:t xml:space="preserve">Locating relevant literature currently depends on manually constructing search queries across multiple academic databases, opening and reading dozens of abstracts, and manually noting down key findings, methodologies and gaps. This process must be repeated whenever the research topic changes or when a periodic literature update is required. Automating the discovery, filtering and summarisation steps allows the researcher to spend their time on higher-value activities such as critical analysis, experiment design and writing, rather than on the repetitive mechanics of searching and reading.</w:t>
      </w:r>
    </w:p>
    <w:p>
      <w:pPr>
        <w:pStyle w:val="Heading2"/>
        <w:spacing w:after="160" w:before="280"/>
      </w:pPr>
      <w:r>
        <w:rPr>
          <w:rFonts w:ascii="Calibri" w:cs="Calibri" w:eastAsia="Calibri" w:hAnsi="Calibri"/>
          <w:b/>
          <w:bCs/>
          <w:color w:val="2E5395"/>
          <w:sz w:val="26"/>
          <w:szCs w:val="26"/>
        </w:rPr>
        <w:t xml:space="preserve">4.3 Problems with Manual Literature Review</w:t>
      </w:r>
    </w:p>
    <w:p>
      <w:pPr>
        <w:pStyle w:val="ListParagraph"/>
        <w:numPr>
          <w:ilvl w:val="0"/>
          <w:numId w:val="2"/>
        </w:numPr>
        <w:spacing w:after="100" w:line="276"/>
      </w:pPr>
      <w:r>
        <w:rPr>
          <w:rFonts w:ascii="Calibri" w:cs="Calibri" w:eastAsia="Calibri" w:hAnsi="Calibri"/>
          <w:sz w:val="22"/>
          <w:szCs w:val="22"/>
        </w:rPr>
        <w:t xml:space="preserve">Searching multiple databases individually is repetitive and time-consuming.</w:t>
      </w:r>
    </w:p>
    <w:p>
      <w:pPr>
        <w:pStyle w:val="ListParagraph"/>
        <w:numPr>
          <w:ilvl w:val="0"/>
          <w:numId w:val="2"/>
        </w:numPr>
        <w:spacing w:after="100" w:line="276"/>
      </w:pPr>
      <w:r>
        <w:rPr>
          <w:rFonts w:ascii="Calibri" w:cs="Calibri" w:eastAsia="Calibri" w:hAnsi="Calibri"/>
          <w:sz w:val="22"/>
          <w:szCs w:val="22"/>
        </w:rPr>
        <w:t xml:space="preserve">Reading and mentally summarising every candidate abstract does not scale well as the number of papers grows.</w:t>
      </w:r>
    </w:p>
    <w:p>
      <w:pPr>
        <w:pStyle w:val="ListParagraph"/>
        <w:numPr>
          <w:ilvl w:val="0"/>
          <w:numId w:val="2"/>
        </w:numPr>
        <w:spacing w:after="100" w:line="276"/>
      </w:pPr>
      <w:r>
        <w:rPr>
          <w:rFonts w:ascii="Calibri" w:cs="Calibri" w:eastAsia="Calibri" w:hAnsi="Calibri"/>
          <w:sz w:val="22"/>
          <w:szCs w:val="22"/>
        </w:rPr>
        <w:t xml:space="preserve">There is no standard, structured place to store paper metadata alongside AI-generated notes for later reference.</w:t>
      </w:r>
    </w:p>
    <w:p>
      <w:pPr>
        <w:pStyle w:val="ListParagraph"/>
        <w:numPr>
          <w:ilvl w:val="0"/>
          <w:numId w:val="2"/>
        </w:numPr>
        <w:spacing w:after="100" w:line="276"/>
      </w:pPr>
      <w:r>
        <w:rPr>
          <w:rFonts w:ascii="Calibri" w:cs="Calibri" w:eastAsia="Calibri" w:hAnsi="Calibri"/>
          <w:sz w:val="22"/>
          <w:szCs w:val="22"/>
        </w:rPr>
        <w:t xml:space="preserve">Identifying overarching themes, trends and gaps across many papers requires the reviewer to hold all of them in working memory simultaneously.</w:t>
      </w:r>
    </w:p>
    <w:p>
      <w:pPr>
        <w:pStyle w:val="ListParagraph"/>
        <w:numPr>
          <w:ilvl w:val="0"/>
          <w:numId w:val="2"/>
        </w:numPr>
        <w:spacing w:after="100" w:line="276"/>
      </w:pPr>
      <w:r>
        <w:rPr>
          <w:rFonts w:ascii="Calibri" w:cs="Calibri" w:eastAsia="Calibri" w:hAnsi="Calibri"/>
          <w:sz w:val="22"/>
          <w:szCs w:val="22"/>
        </w:rPr>
        <w:t xml:space="preserve">Sharing a consolidated view of findings with a supervisor or collaborator typically requires manually compiling a separate report.</w:t>
      </w:r>
    </w:p>
    <w:p>
      <w:pPr>
        <w:pStyle w:val="Heading2"/>
        <w:spacing w:after="160" w:before="280"/>
      </w:pPr>
      <w:r>
        <w:rPr>
          <w:rFonts w:ascii="Calibri" w:cs="Calibri" w:eastAsia="Calibri" w:hAnsi="Calibri"/>
          <w:b/>
          <w:bCs/>
          <w:color w:val="2E5395"/>
          <w:sz w:val="26"/>
          <w:szCs w:val="26"/>
        </w:rPr>
        <w:t xml:space="preserve">4.4 Motivation Behind the Project</w:t>
      </w:r>
    </w:p>
    <w:p>
      <w:pPr>
        <w:spacing w:after="160" w:line="276"/>
        <w:jc w:val="both"/>
      </w:pPr>
      <w:r>
        <w:rPr>
          <w:rFonts w:ascii="Calibri" w:cs="Calibri" w:eastAsia="Calibri" w:hAnsi="Calibri"/>
          <w:b w:val="false"/>
          <w:bCs w:val="false"/>
          <w:i w:val="false"/>
          <w:iCs w:val="false"/>
          <w:sz w:val="22"/>
          <w:szCs w:val="22"/>
        </w:rPr>
        <w:t xml:space="preserve">The motivation behind this project is to demonstrate that a functional, end-to-end research assistant can be assembled using a visual workflow automation tool rather than a fully custom-coded application. By connecting a form trigger, external academic APIs, LLM-based analysis chains, a spreadsheet for persistence, and an email delivery step, the project shows how automation platforms such as n8n can orchestrate a multi-stage AI pipeline where each stage — discovery, analysis, recommendation and insight generation — is handled by a dedicated, modular workflow.</w:t>
      </w:r>
    </w:p>
    <w:p>
      <w:r>
        <w:br w:type="page"/>
      </w:r>
    </w:p>
    <w:p>
      <w:pPr>
        <w:pStyle w:val="Heading1"/>
        <w:spacing w:after="200" w:before="360"/>
      </w:pPr>
      <w:r>
        <w:rPr>
          <w:rFonts w:ascii="Calibri" w:cs="Calibri" w:eastAsia="Calibri" w:hAnsi="Calibri"/>
          <w:b/>
          <w:bCs/>
          <w:color w:val="1F3864"/>
          <w:sz w:val="32"/>
          <w:szCs w:val="32"/>
        </w:rPr>
        <w:t xml:space="preserve">Problem Analysis</w:t>
      </w:r>
    </w:p>
    <w:p>
      <w:pPr>
        <w:spacing w:after="160" w:line="276"/>
        <w:jc w:val="both"/>
      </w:pPr>
      <w:r>
        <w:rPr>
          <w:rFonts w:ascii="Calibri" w:cs="Calibri" w:eastAsia="Calibri" w:hAnsi="Calibri"/>
          <w:b w:val="false"/>
          <w:bCs w:val="false"/>
          <w:i w:val="false"/>
          <w:iCs w:val="false"/>
          <w:sz w:val="22"/>
          <w:szCs w:val="22"/>
        </w:rPr>
        <w:t xml:space="preserve">Building on the motivation outlined in Section 4, this section formalises the problem in terms of business context, stakeholders, pain points, objectives and expected benefits.</w:t>
      </w:r>
    </w:p>
    <w:p>
      <w:pPr>
        <w:pStyle w:val="Heading2"/>
        <w:spacing w:after="160" w:before="280"/>
      </w:pPr>
      <w:r>
        <w:rPr>
          <w:rFonts w:ascii="Calibri" w:cs="Calibri" w:eastAsia="Calibri" w:hAnsi="Calibri"/>
          <w:b/>
          <w:bCs/>
          <w:color w:val="2E5395"/>
          <w:sz w:val="26"/>
          <w:szCs w:val="26"/>
        </w:rPr>
        <w:t xml:space="preserve">5.1 Business Context</w:t>
      </w:r>
    </w:p>
    <w:p>
      <w:pPr>
        <w:spacing w:after="160" w:line="276"/>
        <w:jc w:val="both"/>
      </w:pPr>
      <w:r>
        <w:rPr>
          <w:rFonts w:ascii="Calibri" w:cs="Calibri" w:eastAsia="Calibri" w:hAnsi="Calibri"/>
          <w:b w:val="false"/>
          <w:bCs w:val="false"/>
          <w:i w:val="false"/>
          <w:iCs w:val="false"/>
          <w:sz w:val="22"/>
          <w:szCs w:val="22"/>
        </w:rPr>
        <w:t xml:space="preserve">Within an academic or research setting, the ability to quickly discover and understand relevant literature directly affects the speed and quality of research output. A tool that automates paper discovery, summarisation and reporting has direct value to students, faculty members and independent researchers who need to stay current with a fast-moving body of literature.</w:t>
      </w:r>
    </w:p>
    <w:p>
      <w:pPr>
        <w:pStyle w:val="Heading2"/>
        <w:spacing w:after="160" w:before="280"/>
      </w:pPr>
      <w:r>
        <w:rPr>
          <w:rFonts w:ascii="Calibri" w:cs="Calibri" w:eastAsia="Calibri" w:hAnsi="Calibri"/>
          <w:b/>
          <w:bCs/>
          <w:color w:val="2E5395"/>
          <w:sz w:val="26"/>
          <w:szCs w:val="26"/>
        </w:rPr>
        <w:t xml:space="preserve">5.2 Stakeholders</w:t>
      </w:r>
    </w:p>
    <w:p>
      <w:pPr>
        <w:pStyle w:val="ListParagraph"/>
        <w:numPr>
          <w:ilvl w:val="0"/>
          <w:numId w:val="2"/>
        </w:numPr>
        <w:spacing w:after="100" w:line="276"/>
      </w:pPr>
      <w:r>
        <w:rPr>
          <w:rFonts w:ascii="Calibri" w:cs="Calibri" w:eastAsia="Calibri" w:hAnsi="Calibri"/>
          <w:sz w:val="22"/>
          <w:szCs w:val="22"/>
        </w:rPr>
        <w:t xml:space="preserve">Researchers and students who need to perform literature reviews for academic projects, theses or papers.</w:t>
      </w:r>
    </w:p>
    <w:p>
      <w:pPr>
        <w:pStyle w:val="ListParagraph"/>
        <w:numPr>
          <w:ilvl w:val="0"/>
          <w:numId w:val="2"/>
        </w:numPr>
        <w:spacing w:after="100" w:line="276"/>
      </w:pPr>
      <w:r>
        <w:rPr>
          <w:rFonts w:ascii="Calibri" w:cs="Calibri" w:eastAsia="Calibri" w:hAnsi="Calibri"/>
          <w:sz w:val="22"/>
          <w:szCs w:val="22"/>
        </w:rPr>
        <w:t xml:space="preserve">Academic guides and supervisors who review the research direction and expect summarised, well-organised findings.</w:t>
      </w:r>
    </w:p>
    <w:p>
      <w:pPr>
        <w:pStyle w:val="ListParagraph"/>
        <w:numPr>
          <w:ilvl w:val="0"/>
          <w:numId w:val="2"/>
        </w:numPr>
        <w:spacing w:after="100" w:line="276"/>
      </w:pPr>
      <w:r>
        <w:rPr>
          <w:rFonts w:ascii="Calibri" w:cs="Calibri" w:eastAsia="Calibri" w:hAnsi="Calibri"/>
          <w:sz w:val="22"/>
          <w:szCs w:val="22"/>
        </w:rPr>
        <w:t xml:space="preserve">Workflow administrators who configure and maintain the n8n instance, API credentials and connected accounts (Google Sheets, Gmail, OpenAI).</w:t>
      </w:r>
    </w:p>
    <w:p>
      <w:pPr>
        <w:pStyle w:val="Heading2"/>
        <w:spacing w:after="160" w:before="280"/>
      </w:pPr>
      <w:r>
        <w:rPr>
          <w:rFonts w:ascii="Calibri" w:cs="Calibri" w:eastAsia="Calibri" w:hAnsi="Calibri"/>
          <w:b/>
          <w:bCs/>
          <w:color w:val="2E5395"/>
          <w:sz w:val="26"/>
          <w:szCs w:val="26"/>
        </w:rPr>
        <w:t xml:space="preserve">5.3 Pain Points</w:t>
      </w:r>
    </w:p>
    <w:p>
      <w:pPr>
        <w:pStyle w:val="ListParagraph"/>
        <w:numPr>
          <w:ilvl w:val="0"/>
          <w:numId w:val="2"/>
        </w:numPr>
        <w:spacing w:after="100" w:line="276"/>
      </w:pPr>
      <w:r>
        <w:rPr>
          <w:rFonts w:ascii="Calibri" w:cs="Calibri" w:eastAsia="Calibri" w:hAnsi="Calibri"/>
          <w:sz w:val="22"/>
          <w:szCs w:val="22"/>
        </w:rPr>
        <w:t xml:space="preserve">Time lost manually searching arXiv and OpenAlex separately for the same research topic.</w:t>
      </w:r>
    </w:p>
    <w:p>
      <w:pPr>
        <w:pStyle w:val="ListParagraph"/>
        <w:numPr>
          <w:ilvl w:val="0"/>
          <w:numId w:val="2"/>
        </w:numPr>
        <w:spacing w:after="100" w:line="276"/>
      </w:pPr>
      <w:r>
        <w:rPr>
          <w:rFonts w:ascii="Calibri" w:cs="Calibri" w:eastAsia="Calibri" w:hAnsi="Calibri"/>
          <w:sz w:val="22"/>
          <w:szCs w:val="22"/>
        </w:rPr>
        <w:t xml:space="preserve">Inconsistent note-taking format across different papers reviewed by the same researcher.</w:t>
      </w:r>
    </w:p>
    <w:p>
      <w:pPr>
        <w:pStyle w:val="ListParagraph"/>
        <w:numPr>
          <w:ilvl w:val="0"/>
          <w:numId w:val="2"/>
        </w:numPr>
        <w:spacing w:after="100" w:line="276"/>
      </w:pPr>
      <w:r>
        <w:rPr>
          <w:rFonts w:ascii="Calibri" w:cs="Calibri" w:eastAsia="Calibri" w:hAnsi="Calibri"/>
          <w:sz w:val="22"/>
          <w:szCs w:val="22"/>
        </w:rPr>
        <w:t xml:space="preserve">No automatic mechanism to translate a set of individually summarised papers into a single, structured set of insights.</w:t>
      </w:r>
    </w:p>
    <w:p>
      <w:pPr>
        <w:pStyle w:val="ListParagraph"/>
        <w:numPr>
          <w:ilvl w:val="0"/>
          <w:numId w:val="2"/>
        </w:numPr>
        <w:spacing w:after="100" w:line="276"/>
      </w:pPr>
      <w:r>
        <w:rPr>
          <w:rFonts w:ascii="Calibri" w:cs="Calibri" w:eastAsia="Calibri" w:hAnsi="Calibri"/>
          <w:sz w:val="22"/>
          <w:szCs w:val="22"/>
        </w:rPr>
        <w:t xml:space="preserve">No automatic delivery mechanism for a finished report; findings usually remain scattered across notes, browser tabs and spreadsheets.</w:t>
      </w:r>
    </w:p>
    <w:p>
      <w:pPr>
        <w:pStyle w:val="Heading2"/>
        <w:spacing w:after="160" w:before="280"/>
      </w:pPr>
      <w:r>
        <w:rPr>
          <w:rFonts w:ascii="Calibri" w:cs="Calibri" w:eastAsia="Calibri" w:hAnsi="Calibri"/>
          <w:b/>
          <w:bCs/>
          <w:color w:val="2E5395"/>
          <w:sz w:val="26"/>
          <w:szCs w:val="26"/>
        </w:rPr>
        <w:t xml:space="preserve">5.4 Objectives</w:t>
      </w:r>
    </w:p>
    <w:p>
      <w:pPr>
        <w:pStyle w:val="ListParagraph"/>
        <w:numPr>
          <w:ilvl w:val="0"/>
          <w:numId w:val="3"/>
        </w:numPr>
        <w:spacing w:after="100" w:line="276"/>
      </w:pPr>
      <w:r>
        <w:rPr>
          <w:rFonts w:ascii="Calibri" w:cs="Calibri" w:eastAsia="Calibri" w:hAnsi="Calibri"/>
          <w:sz w:val="22"/>
          <w:szCs w:val="22"/>
        </w:rPr>
        <w:t xml:space="preserve">Automatically retrieve research papers relevant to a user-specified topic from the arXiv API.</w:t>
      </w:r>
    </w:p>
    <w:p>
      <w:pPr>
        <w:pStyle w:val="ListParagraph"/>
        <w:numPr>
          <w:ilvl w:val="0"/>
          <w:numId w:val="3"/>
        </w:numPr>
        <w:spacing w:after="100" w:line="276"/>
      </w:pPr>
      <w:r>
        <w:rPr>
          <w:rFonts w:ascii="Calibri" w:cs="Calibri" w:eastAsia="Calibri" w:hAnsi="Calibri"/>
          <w:sz w:val="22"/>
          <w:szCs w:val="22"/>
        </w:rPr>
        <w:t xml:space="preserve">Generate structured, AI-based summaries and analysis for every retrieved paper using GPT-5 Mini.</w:t>
      </w:r>
    </w:p>
    <w:p>
      <w:pPr>
        <w:pStyle w:val="ListParagraph"/>
        <w:numPr>
          <w:ilvl w:val="0"/>
          <w:numId w:val="3"/>
        </w:numPr>
        <w:spacing w:after="100" w:line="276"/>
      </w:pPr>
      <w:r>
        <w:rPr>
          <w:rFonts w:ascii="Calibri" w:cs="Calibri" w:eastAsia="Calibri" w:hAnsi="Calibri"/>
          <w:sz w:val="22"/>
          <w:szCs w:val="22"/>
        </w:rPr>
        <w:t xml:space="preserve">Persist all discovered papers and their AI analysis into a Google Sheet for future reference.</w:t>
      </w:r>
    </w:p>
    <w:p>
      <w:pPr>
        <w:pStyle w:val="ListParagraph"/>
        <w:numPr>
          <w:ilvl w:val="0"/>
          <w:numId w:val="3"/>
        </w:numPr>
        <w:spacing w:after="100" w:line="276"/>
      </w:pPr>
      <w:r>
        <w:rPr>
          <w:rFonts w:ascii="Calibri" w:cs="Calibri" w:eastAsia="Calibri" w:hAnsi="Calibri"/>
          <w:sz w:val="22"/>
          <w:szCs w:val="22"/>
        </w:rPr>
        <w:t xml:space="preserve">Independently query the OpenAlex API and score papers for topic relevance through a second, decoupled recommendation workflow.</w:t>
      </w:r>
    </w:p>
    <w:p>
      <w:pPr>
        <w:pStyle w:val="ListParagraph"/>
        <w:numPr>
          <w:ilvl w:val="0"/>
          <w:numId w:val="3"/>
        </w:numPr>
        <w:spacing w:after="100" w:line="276"/>
      </w:pPr>
      <w:r>
        <w:rPr>
          <w:rFonts w:ascii="Calibri" w:cs="Calibri" w:eastAsia="Calibri" w:hAnsi="Calibri"/>
          <w:sz w:val="22"/>
          <w:szCs w:val="22"/>
        </w:rPr>
        <w:t xml:space="preserve">Consolidate the AI-analysed papers into a single set of cross-paper research insights using a third, decoupled workflow.</w:t>
      </w:r>
    </w:p>
    <w:p>
      <w:pPr>
        <w:pStyle w:val="ListParagraph"/>
        <w:numPr>
          <w:ilvl w:val="0"/>
          <w:numId w:val="3"/>
        </w:numPr>
        <w:spacing w:after="100" w:line="276"/>
      </w:pPr>
      <w:r>
        <w:rPr>
          <w:rFonts w:ascii="Calibri" w:cs="Calibri" w:eastAsia="Calibri" w:hAnsi="Calibri"/>
          <w:sz w:val="22"/>
          <w:szCs w:val="22"/>
        </w:rPr>
        <w:t xml:space="preserve">Compile a final structured research report and deliver it automatically to the requesting user's email address.</w:t>
      </w:r>
    </w:p>
    <w:p>
      <w:pPr>
        <w:pStyle w:val="Heading2"/>
        <w:spacing w:after="160" w:before="280"/>
      </w:pPr>
      <w:r>
        <w:rPr>
          <w:rFonts w:ascii="Calibri" w:cs="Calibri" w:eastAsia="Calibri" w:hAnsi="Calibri"/>
          <w:b/>
          <w:bCs/>
          <w:color w:val="2E5395"/>
          <w:sz w:val="26"/>
          <w:szCs w:val="26"/>
        </w:rPr>
        <w:t xml:space="preserve">5.5 Expected Benefits</w:t>
      </w:r>
    </w:p>
    <w:p>
      <w:pPr>
        <w:pStyle w:val="ListParagraph"/>
        <w:numPr>
          <w:ilvl w:val="0"/>
          <w:numId w:val="2"/>
        </w:numPr>
        <w:spacing w:after="100" w:line="276"/>
      </w:pPr>
      <w:r>
        <w:rPr>
          <w:rFonts w:ascii="Calibri" w:cs="Calibri" w:eastAsia="Calibri" w:hAnsi="Calibri"/>
          <w:sz w:val="22"/>
          <w:szCs w:val="22"/>
        </w:rPr>
        <w:t xml:space="preserve">Significant reduction in the manual effort required to discover and screen literature on a given topic.</w:t>
      </w:r>
    </w:p>
    <w:p>
      <w:pPr>
        <w:pStyle w:val="ListParagraph"/>
        <w:numPr>
          <w:ilvl w:val="0"/>
          <w:numId w:val="2"/>
        </w:numPr>
        <w:spacing w:after="100" w:line="276"/>
      </w:pPr>
      <w:r>
        <w:rPr>
          <w:rFonts w:ascii="Calibri" w:cs="Calibri" w:eastAsia="Calibri" w:hAnsi="Calibri"/>
          <w:sz w:val="22"/>
          <w:szCs w:val="22"/>
        </w:rPr>
        <w:t xml:space="preserve">Consistent, structured AI analysis format applied uniformly across every paper.</w:t>
      </w:r>
    </w:p>
    <w:p>
      <w:pPr>
        <w:pStyle w:val="ListParagraph"/>
        <w:numPr>
          <w:ilvl w:val="0"/>
          <w:numId w:val="2"/>
        </w:numPr>
        <w:spacing w:after="100" w:line="276"/>
      </w:pPr>
      <w:r>
        <w:rPr>
          <w:rFonts w:ascii="Calibri" w:cs="Calibri" w:eastAsia="Calibri" w:hAnsi="Calibri"/>
          <w:sz w:val="22"/>
          <w:szCs w:val="22"/>
        </w:rPr>
        <w:t xml:space="preserve">A persistent, searchable Google Sheet repository of previously discovered papers.</w:t>
      </w:r>
    </w:p>
    <w:p>
      <w:pPr>
        <w:pStyle w:val="ListParagraph"/>
        <w:numPr>
          <w:ilvl w:val="0"/>
          <w:numId w:val="2"/>
        </w:numPr>
        <w:spacing w:after="100" w:line="276"/>
      </w:pPr>
      <w:r>
        <w:rPr>
          <w:rFonts w:ascii="Calibri" w:cs="Calibri" w:eastAsia="Calibri" w:hAnsi="Calibri"/>
          <w:sz w:val="22"/>
          <w:szCs w:val="22"/>
        </w:rPr>
        <w:t xml:space="preserve">Automatic delivery of a synthesised research report without any manual compilation step.</w:t>
      </w:r>
    </w:p>
    <w:p>
      <w:pPr>
        <w:pStyle w:val="ListParagraph"/>
        <w:numPr>
          <w:ilvl w:val="0"/>
          <w:numId w:val="2"/>
        </w:numPr>
        <w:spacing w:after="100" w:line="276"/>
      </w:pPr>
      <w:r>
        <w:rPr>
          <w:rFonts w:ascii="Calibri" w:cs="Calibri" w:eastAsia="Calibri" w:hAnsi="Calibri"/>
          <w:sz w:val="22"/>
          <w:szCs w:val="22"/>
        </w:rPr>
        <w:t xml:space="preserve">A modular architecture in which the discovery, recommendation and insight-generation responsibilities are separated into independent, reusable workflows.</w:t>
      </w:r>
    </w:p>
    <w:p>
      <w:r>
        <w:br w:type="page"/>
      </w:r>
    </w:p>
    <w:p>
      <w:pPr>
        <w:pStyle w:val="Heading1"/>
        <w:spacing w:after="200" w:before="360"/>
      </w:pPr>
      <w:r>
        <w:rPr>
          <w:rFonts w:ascii="Calibri" w:cs="Calibri" w:eastAsia="Calibri" w:hAnsi="Calibri"/>
          <w:b/>
          <w:bCs/>
          <w:color w:val="1F3864"/>
          <w:sz w:val="32"/>
          <w:szCs w:val="32"/>
        </w:rPr>
        <w:t xml:space="preserve">Existing System</w:t>
      </w:r>
    </w:p>
    <w:p>
      <w:pPr>
        <w:spacing w:after="160" w:line="276"/>
        <w:jc w:val="both"/>
      </w:pPr>
      <w:r>
        <w:rPr>
          <w:rFonts w:ascii="Calibri" w:cs="Calibri" w:eastAsia="Calibri" w:hAnsi="Calibri"/>
          <w:b w:val="false"/>
          <w:bCs w:val="false"/>
          <w:i w:val="false"/>
          <w:iCs w:val="false"/>
          <w:sz w:val="22"/>
          <w:szCs w:val="22"/>
        </w:rPr>
        <w:t xml:space="preserve">Section 5 identified the pain points that motivate this project at a high level. This section describes, in more detail, how the corresponding tasks are carried out today without any automation support.</w:t>
      </w:r>
    </w:p>
    <w:p>
      <w:pPr>
        <w:spacing w:after="160" w:line="276"/>
        <w:jc w:val="both"/>
      </w:pPr>
      <w:r>
        <w:rPr>
          <w:rFonts w:ascii="Calibri" w:cs="Calibri" w:eastAsia="Calibri" w:hAnsi="Calibri"/>
          <w:b w:val="false"/>
          <w:bCs w:val="false"/>
          <w:i w:val="false"/>
          <w:iCs w:val="false"/>
          <w:sz w:val="22"/>
          <w:szCs w:val="22"/>
        </w:rPr>
        <w:t xml:space="preserve">In the traditional, manual literature review process, a researcher begins by identifying a set of keywords related to their topic of interest. These keywords are entered individually into the search interfaces of academic databases such as arXiv, Google Scholar, or institutional library portals, and each search typically returns a list of paper titles and abstracts that must be read one at a time.</w:t>
      </w:r>
    </w:p>
    <w:p>
      <w:pPr>
        <w:spacing w:after="160" w:line="276"/>
        <w:jc w:val="both"/>
      </w:pPr>
      <w:r>
        <w:rPr>
          <w:rFonts w:ascii="Calibri" w:cs="Calibri" w:eastAsia="Calibri" w:hAnsi="Calibri"/>
          <w:b w:val="false"/>
          <w:bCs w:val="false"/>
          <w:i w:val="false"/>
          <w:iCs w:val="false"/>
          <w:sz w:val="22"/>
          <w:szCs w:val="22"/>
        </w:rPr>
        <w:t xml:space="preserve">For every paper considered potentially relevant, the researcher manually reads the abstract, and in many cases the full text, to determine its relevance, extract key findings, and note any identified limitations or gaps. This information is usually recorded in a personal document, spreadsheet, or reference manager, with the format and level of detail varying depending on the individual researcher's habits. Once enough papers have been reviewed, the researcher must manually synthesise these notes into a combined view of the field, identifying recurring themes, trends and gaps purely from memory and cross-checking.</w:t>
      </w:r>
    </w:p>
    <w:p>
      <w:pPr>
        <w:pStyle w:val="Heading2"/>
        <w:spacing w:after="160" w:before="280"/>
      </w:pPr>
      <w:r>
        <w:rPr>
          <w:rFonts w:ascii="Calibri" w:cs="Calibri" w:eastAsia="Calibri" w:hAnsi="Calibri"/>
          <w:b/>
          <w:bCs/>
          <w:color w:val="2E5395"/>
          <w:sz w:val="26"/>
          <w:szCs w:val="26"/>
        </w:rPr>
        <w:t xml:space="preserve">6.1 Limitations of the Existing (Manual) Process</w:t>
      </w:r>
    </w:p>
    <w:p>
      <w:pPr>
        <w:pStyle w:val="ListParagraph"/>
        <w:numPr>
          <w:ilvl w:val="0"/>
          <w:numId w:val="2"/>
        </w:numPr>
        <w:spacing w:after="100" w:line="276"/>
      </w:pPr>
      <w:r>
        <w:rPr>
          <w:rFonts w:ascii="Calibri" w:cs="Calibri" w:eastAsia="Calibri" w:hAnsi="Calibri"/>
          <w:sz w:val="22"/>
          <w:szCs w:val="22"/>
        </w:rPr>
        <w:t xml:space="preserve">Searching across multiple databases (for example arXiv and OpenAlex) must be repeated separately for each source.</w:t>
      </w:r>
    </w:p>
    <w:p>
      <w:pPr>
        <w:pStyle w:val="ListParagraph"/>
        <w:numPr>
          <w:ilvl w:val="0"/>
          <w:numId w:val="2"/>
        </w:numPr>
        <w:spacing w:after="100" w:line="276"/>
      </w:pPr>
      <w:r>
        <w:rPr>
          <w:rFonts w:ascii="Calibri" w:cs="Calibri" w:eastAsia="Calibri" w:hAnsi="Calibri"/>
          <w:sz w:val="22"/>
          <w:szCs w:val="22"/>
        </w:rPr>
        <w:t xml:space="preserve">There is no automatic structuring of the extracted information; the quality and consistency of notes depend entirely on the individual researcher.</w:t>
      </w:r>
    </w:p>
    <w:p>
      <w:pPr>
        <w:pStyle w:val="ListParagraph"/>
        <w:numPr>
          <w:ilvl w:val="0"/>
          <w:numId w:val="2"/>
        </w:numPr>
        <w:spacing w:after="100" w:line="276"/>
      </w:pPr>
      <w:r>
        <w:rPr>
          <w:rFonts w:ascii="Calibri" w:cs="Calibri" w:eastAsia="Calibri" w:hAnsi="Calibri"/>
          <w:sz w:val="22"/>
          <w:szCs w:val="22"/>
        </w:rPr>
        <w:t xml:space="preserve">Cross-paper synthesis — identifying themes, trends and gaps across many papers at once — is a purely manual, memory-intensive task.</w:t>
      </w:r>
    </w:p>
    <w:p>
      <w:pPr>
        <w:pStyle w:val="ListParagraph"/>
        <w:numPr>
          <w:ilvl w:val="0"/>
          <w:numId w:val="2"/>
        </w:numPr>
        <w:spacing w:after="100" w:line="276"/>
      </w:pPr>
      <w:r>
        <w:rPr>
          <w:rFonts w:ascii="Calibri" w:cs="Calibri" w:eastAsia="Calibri" w:hAnsi="Calibri"/>
          <w:sz w:val="22"/>
          <w:szCs w:val="22"/>
        </w:rPr>
        <w:t xml:space="preserve">There is no automatic mechanism to relay a finished, structured report to a supervisor or collaborator; this must be compiled and sent manually.</w:t>
      </w:r>
    </w:p>
    <w:p>
      <w:pPr>
        <w:pStyle w:val="ListParagraph"/>
        <w:numPr>
          <w:ilvl w:val="0"/>
          <w:numId w:val="2"/>
        </w:numPr>
        <w:spacing w:after="100" w:line="276"/>
      </w:pPr>
      <w:r>
        <w:rPr>
          <w:rFonts w:ascii="Calibri" w:cs="Calibri" w:eastAsia="Calibri" w:hAnsi="Calibri"/>
          <w:sz w:val="22"/>
          <w:szCs w:val="22"/>
        </w:rPr>
        <w:t xml:space="preserve">The process does not scale efficiently as the number of candidate papers grows, since every additional paper adds a proportional amount of manual reading and note-taking time.</w:t>
      </w:r>
    </w:p>
    <w:p>
      <w:r>
        <w:br w:type="page"/>
      </w:r>
    </w:p>
    <w:p>
      <w:pPr>
        <w:pStyle w:val="Heading1"/>
        <w:spacing w:after="200" w:before="360"/>
      </w:pPr>
      <w:r>
        <w:rPr>
          <w:rFonts w:ascii="Calibri" w:cs="Calibri" w:eastAsia="Calibri" w:hAnsi="Calibri"/>
          <w:b/>
          <w:bCs/>
          <w:color w:val="1F3864"/>
          <w:sz w:val="32"/>
          <w:szCs w:val="32"/>
        </w:rPr>
        <w:t xml:space="preserve">Proposed System</w:t>
      </w:r>
    </w:p>
    <w:p>
      <w:pPr>
        <w:spacing w:after="160" w:line="276"/>
        <w:jc w:val="both"/>
      </w:pPr>
      <w:r>
        <w:rPr>
          <w:rFonts w:ascii="Calibri" w:cs="Calibri" w:eastAsia="Calibri" w:hAnsi="Calibri"/>
          <w:b w:val="false"/>
          <w:bCs w:val="false"/>
          <w:i w:val="false"/>
          <w:iCs w:val="false"/>
          <w:sz w:val="22"/>
          <w:szCs w:val="22"/>
        </w:rPr>
        <w:t xml:space="preserve">Addressing the limitations of the manual process described in Section 6, the proposed AI Research Assistant automates the literature discovery, analysis, recommendation and insight-generation stages of a research workflow by chaining together three n8n workflows, external academic APIs, a large language model, a spreadsheet, and an email service. The system is initiated by a single form submission and requires no further manual intervention from the user until the final report is received by email.</w:t>
      </w:r>
    </w:p>
    <w:p>
      <w:pPr>
        <w:pStyle w:val="Heading2"/>
        <w:spacing w:after="160" w:before="280"/>
      </w:pPr>
      <w:r>
        <w:rPr>
          <w:rFonts w:ascii="Calibri" w:cs="Calibri" w:eastAsia="Calibri" w:hAnsi="Calibri"/>
          <w:b/>
          <w:bCs/>
          <w:color w:val="2E5395"/>
          <w:sz w:val="26"/>
          <w:szCs w:val="26"/>
        </w:rPr>
        <w:t xml:space="preserve">7.1 Automation Pipeline Overview</w:t>
      </w:r>
    </w:p>
    <w:p>
      <w:pPr>
        <w:spacing w:after="160" w:line="276"/>
        <w:jc w:val="both"/>
      </w:pPr>
      <w:r>
        <w:rPr>
          <w:rFonts w:ascii="Calibri" w:cs="Calibri" w:eastAsia="Calibri" w:hAnsi="Calibri"/>
          <w:b w:val="false"/>
          <w:bCs w:val="false"/>
          <w:i w:val="false"/>
          <w:iCs w:val="false"/>
          <w:sz w:val="22"/>
          <w:szCs w:val="22"/>
        </w:rPr>
        <w:t xml:space="preserve">When a user submits the research request form, two processes start in parallel. The primary process queries the arXiv API for papers matching the specified research topic and keywords, parses the returned Atom/XML feed, and processes each paper individually through a GPT-5 Mini analysis chain that generates a summary, key findings, keywords and research gaps. Each analysed paper, together with its metadata, is appended as a new row in a shared Google Sheet, so that the sheet grows into a persistent repository of previously discovered and analysed research.</w:t>
      </w:r>
    </w:p>
    <w:p>
      <w:pPr>
        <w:spacing w:after="160" w:line="276"/>
        <w:jc w:val="both"/>
      </w:pPr>
      <w:r>
        <w:rPr>
          <w:rFonts w:ascii="Calibri" w:cs="Calibri" w:eastAsia="Calibri" w:hAnsi="Calibri"/>
          <w:b w:val="false"/>
          <w:bCs w:val="false"/>
          <w:i w:val="false"/>
          <w:iCs w:val="false"/>
          <w:sz w:val="22"/>
          <w:szCs w:val="22"/>
        </w:rPr>
        <w:t xml:space="preserve">In parallel, the same research topic is passed to the AI Related Paper Recommendation Engine workflow, which independently queries the OpenAlex API and evaluates each returned paper for its relevance to the stated topic using a separate GPT-5 Mini prompt that produces a relevance score, a recommendation level, a recommendation reason, and a description of the paper's potential use.</w:t>
      </w:r>
    </w:p>
    <w:p>
      <w:pPr>
        <w:spacing w:after="160" w:line="276"/>
        <w:jc w:val="both"/>
      </w:pPr>
      <w:r>
        <w:rPr>
          <w:rFonts w:ascii="Calibri" w:cs="Calibri" w:eastAsia="Calibri" w:hAnsi="Calibri"/>
          <w:b w:val="false"/>
          <w:bCs w:val="false"/>
          <w:i w:val="false"/>
          <w:iCs w:val="false"/>
          <w:sz w:val="22"/>
          <w:szCs w:val="22"/>
        </w:rPr>
        <w:t xml:space="preserve">Once every arXiv paper from the primary process has been analysed, all of the individual AI analyses are aggregated into a single data structure and passed to the Research Insight Generator workflow. This third workflow uses a dedicated GPT-5 Mini prompt to synthesise the individual paper analyses into a consolidated set of key themes, research trends, research gaps, cross-paper insights, and future research directions, all evaluated specifically against the user's stated research goal.</w:t>
      </w:r>
    </w:p>
    <w:p>
      <w:pPr>
        <w:spacing w:after="160" w:line="276"/>
        <w:jc w:val="both"/>
      </w:pPr>
      <w:r>
        <w:rPr>
          <w:rFonts w:ascii="Calibri" w:cs="Calibri" w:eastAsia="Calibri" w:hAnsi="Calibri"/>
          <w:b w:val="false"/>
          <w:bCs w:val="false"/>
          <w:i w:val="false"/>
          <w:iCs w:val="false"/>
          <w:sz w:val="22"/>
          <w:szCs w:val="22"/>
        </w:rPr>
        <w:t xml:space="preserve">The insight data returned from the third workflow is then used to build a final structured research report through a fourth LLM prompt in the primary workflow, and this completed report is emailed directly to the address supplied in the original form, formatted as an HTML message containing the research topic, research goal, and the generated report body.</w:t>
      </w:r>
    </w:p>
    <w:p>
      <w:pPr>
        <w:pStyle w:val="Heading2"/>
        <w:spacing w:after="160" w:before="280"/>
      </w:pPr>
      <w:r>
        <w:rPr>
          <w:rFonts w:ascii="Calibri" w:cs="Calibri" w:eastAsia="Calibri" w:hAnsi="Calibri"/>
          <w:b/>
          <w:bCs/>
          <w:color w:val="2E5395"/>
          <w:sz w:val="26"/>
          <w:szCs w:val="26"/>
        </w:rPr>
        <w:t xml:space="preserve">7.2 Key Characteristics of the Proposed System</w:t>
      </w:r>
    </w:p>
    <w:p>
      <w:pPr>
        <w:pStyle w:val="ListParagraph"/>
        <w:numPr>
          <w:ilvl w:val="0"/>
          <w:numId w:val="2"/>
        </w:numPr>
        <w:spacing w:after="100" w:line="276"/>
      </w:pPr>
      <w:r>
        <w:rPr>
          <w:rFonts w:ascii="Calibri" w:cs="Calibri" w:eastAsia="Calibri" w:hAnsi="Calibri"/>
          <w:sz w:val="22"/>
          <w:szCs w:val="22"/>
        </w:rPr>
        <w:t xml:space="preserve">Modular design: paper discovery, recommendation scoring, and insight synthesis are implemented as three separate, independently callable n8n workflows.</w:t>
      </w:r>
    </w:p>
    <w:p>
      <w:pPr>
        <w:pStyle w:val="ListParagraph"/>
        <w:numPr>
          <w:ilvl w:val="0"/>
          <w:numId w:val="2"/>
        </w:numPr>
        <w:spacing w:after="100" w:line="276"/>
      </w:pPr>
      <w:r>
        <w:rPr>
          <w:rFonts w:ascii="Calibri" w:cs="Calibri" w:eastAsia="Calibri" w:hAnsi="Calibri"/>
          <w:sz w:val="22"/>
          <w:szCs w:val="22"/>
        </w:rPr>
        <w:t xml:space="preserve">Sub-workflow reuse: Workflows 2 and 3 are invoked from Workflow 1 using n8n's Execute Workflow node, allowing them to be triggered independently or reused by other workflows in future.</w:t>
      </w:r>
    </w:p>
    <w:p>
      <w:pPr>
        <w:pStyle w:val="ListParagraph"/>
        <w:numPr>
          <w:ilvl w:val="0"/>
          <w:numId w:val="2"/>
        </w:numPr>
        <w:spacing w:after="100" w:line="276"/>
      </w:pPr>
      <w:r>
        <w:rPr>
          <w:rFonts w:ascii="Calibri" w:cs="Calibri" w:eastAsia="Calibri" w:hAnsi="Calibri"/>
          <w:sz w:val="22"/>
          <w:szCs w:val="22"/>
        </w:rPr>
        <w:t xml:space="preserve">Dual-source literature discovery: arXiv is used for full-text preprint discovery and analysis, while OpenAlex is used independently for relevance-scored recommendations.</w:t>
      </w:r>
    </w:p>
    <w:p>
      <w:pPr>
        <w:pStyle w:val="ListParagraph"/>
        <w:numPr>
          <w:ilvl w:val="0"/>
          <w:numId w:val="2"/>
        </w:numPr>
        <w:spacing w:after="100" w:line="276"/>
      </w:pPr>
      <w:r>
        <w:rPr>
          <w:rFonts w:ascii="Calibri" w:cs="Calibri" w:eastAsia="Calibri" w:hAnsi="Calibri"/>
          <w:sz w:val="22"/>
          <w:szCs w:val="22"/>
        </w:rPr>
        <w:t xml:space="preserve">End-to-end automation: from form submission to final email delivery, no manual steps are required.</w:t>
      </w:r>
    </w:p>
    <w:p>
      <w:r>
        <w:br w:type="page"/>
      </w:r>
    </w:p>
    <w:p>
      <w:pPr>
        <w:pStyle w:val="Heading1"/>
        <w:spacing w:after="200" w:before="360"/>
      </w:pPr>
      <w:r>
        <w:rPr>
          <w:rFonts w:ascii="Calibri" w:cs="Calibri" w:eastAsia="Calibri" w:hAnsi="Calibri"/>
          <w:b/>
          <w:bCs/>
          <w:color w:val="1F3864"/>
          <w:sz w:val="32"/>
          <w:szCs w:val="32"/>
        </w:rPr>
        <w:t xml:space="preserve">Technologies Used</w:t>
      </w:r>
    </w:p>
    <w:p>
      <w:pPr>
        <w:spacing w:after="160" w:line="276"/>
        <w:jc w:val="both"/>
      </w:pPr>
      <w:r>
        <w:rPr>
          <w:rFonts w:ascii="Calibri" w:cs="Calibri" w:eastAsia="Calibri" w:hAnsi="Calibri"/>
          <w:b w:val="false"/>
          <w:bCs w:val="false"/>
          <w:i w:val="false"/>
          <w:iCs w:val="false"/>
          <w:sz w:val="22"/>
          <w:szCs w:val="22"/>
        </w:rPr>
        <w:t xml:space="preserve">The proposed system described in Section 7 is built entirely from the technologies discussed below, each of which fulfils a specific role in the overall pipeline.</w:t>
      </w:r>
    </w:p>
    <w:p>
      <w:pPr>
        <w:pStyle w:val="Heading2"/>
        <w:spacing w:after="160" w:before="280"/>
      </w:pPr>
      <w:r>
        <w:rPr>
          <w:rFonts w:ascii="Calibri" w:cs="Calibri" w:eastAsia="Calibri" w:hAnsi="Calibri"/>
          <w:b/>
          <w:bCs/>
          <w:color w:val="2E5395"/>
          <w:sz w:val="26"/>
          <w:szCs w:val="26"/>
        </w:rPr>
        <w:t xml:space="preserve">8.1 n8n</w:t>
      </w:r>
    </w:p>
    <w:p>
      <w:pPr>
        <w:spacing w:after="160" w:line="276"/>
        <w:jc w:val="both"/>
      </w:pPr>
      <w:r>
        <w:rPr>
          <w:rFonts w:ascii="Calibri" w:cs="Calibri" w:eastAsia="Calibri" w:hAnsi="Calibri"/>
          <w:b w:val="false"/>
          <w:bCs w:val="false"/>
          <w:i w:val="false"/>
          <w:iCs w:val="false"/>
          <w:sz w:val="22"/>
          <w:szCs w:val="22"/>
        </w:rPr>
        <w:t xml:space="preserve">n8n is a workflow automation platform that allows processes to be built visually by connecting nodes on a canvas, where each node performs a discrete function such as making an HTTP request, transforming data, or calling an external service. In this project, n8n is the central orchestration engine: every workflow — paper discovery, recommendation scoring, and insight generation — is implemented as a chain of n8n nodes connected through defined data-flow paths. n8n also allows one workflow to invoke another using the Execute Workflow node, which is the mechanism used to connect the three workflows in this project into a single logical pipeline.</w:t>
      </w:r>
    </w:p>
    <w:p>
      <w:pPr>
        <w:pStyle w:val="Heading2"/>
        <w:spacing w:after="160" w:before="280"/>
      </w:pPr>
      <w:r>
        <w:rPr>
          <w:rFonts w:ascii="Calibri" w:cs="Calibri" w:eastAsia="Calibri" w:hAnsi="Calibri"/>
          <w:b/>
          <w:bCs/>
          <w:color w:val="2E5395"/>
          <w:sz w:val="26"/>
          <w:szCs w:val="26"/>
        </w:rPr>
        <w:t xml:space="preserve">8.2 OpenAI GPT-5 Mini</w:t>
      </w:r>
    </w:p>
    <w:p>
      <w:pPr>
        <w:spacing w:after="160" w:line="276"/>
        <w:jc w:val="both"/>
      </w:pPr>
      <w:r>
        <w:rPr>
          <w:rFonts w:ascii="Calibri" w:cs="Calibri" w:eastAsia="Calibri" w:hAnsi="Calibri"/>
          <w:b w:val="false"/>
          <w:bCs w:val="false"/>
          <w:i w:val="false"/>
          <w:iCs w:val="false"/>
          <w:sz w:val="22"/>
          <w:szCs w:val="22"/>
        </w:rPr>
        <w:t xml:space="preserve">GPT-5 Mini is the large language model used throughout the project for natural-language analysis tasks. It is accessed inside n8n through the LangChain-based OpenAI Chat Model node, which supplies the model to a Basic LLM Chain node. GPT-5 Mini is used for four distinct analysis tasks across the three workflows: summarising individual arXiv papers, scoring OpenAlex papers for topical relevance, synthesising cross-paper research insights, and compiling the final structured research report.</w:t>
      </w:r>
    </w:p>
    <w:p>
      <w:pPr>
        <w:pStyle w:val="Heading2"/>
        <w:spacing w:after="160" w:before="280"/>
      </w:pPr>
      <w:r>
        <w:rPr>
          <w:rFonts w:ascii="Calibri" w:cs="Calibri" w:eastAsia="Calibri" w:hAnsi="Calibri"/>
          <w:b/>
          <w:bCs/>
          <w:color w:val="2E5395"/>
          <w:sz w:val="26"/>
          <w:szCs w:val="26"/>
        </w:rPr>
        <w:t xml:space="preserve">8.3 OpenAlex API</w:t>
      </w:r>
    </w:p>
    <w:p>
      <w:pPr>
        <w:spacing w:after="160" w:line="276"/>
        <w:jc w:val="both"/>
      </w:pPr>
      <w:r>
        <w:rPr>
          <w:rFonts w:ascii="Calibri" w:cs="Calibri" w:eastAsia="Calibri" w:hAnsi="Calibri"/>
          <w:b w:val="false"/>
          <w:bCs w:val="false"/>
          <w:i w:val="false"/>
          <w:iCs w:val="false"/>
          <w:sz w:val="22"/>
          <w:szCs w:val="22"/>
        </w:rPr>
        <w:t xml:space="preserve">OpenAlex is an open scholarly database that indexes works, authors, institutions and venues across disciplines and exposes this data through a public REST API. In this project, the OpenAlex Works endpoint is queried by the AI Related Paper Recommendation Engine workflow to retrieve papers matching the user's research topic, along with associated metadata such as authorships, publication date, DOI and landing page URL.</w:t>
      </w:r>
    </w:p>
    <w:p>
      <w:pPr>
        <w:pStyle w:val="Heading2"/>
        <w:spacing w:after="160" w:before="280"/>
      </w:pPr>
      <w:r>
        <w:rPr>
          <w:rFonts w:ascii="Calibri" w:cs="Calibri" w:eastAsia="Calibri" w:hAnsi="Calibri"/>
          <w:b/>
          <w:bCs/>
          <w:color w:val="2E5395"/>
          <w:sz w:val="26"/>
          <w:szCs w:val="26"/>
        </w:rPr>
        <w:t xml:space="preserve">8.4 arXiv API</w:t>
      </w:r>
    </w:p>
    <w:p>
      <w:pPr>
        <w:spacing w:after="160" w:line="276"/>
        <w:jc w:val="both"/>
      </w:pPr>
      <w:r>
        <w:rPr>
          <w:rFonts w:ascii="Calibri" w:cs="Calibri" w:eastAsia="Calibri" w:hAnsi="Calibri"/>
          <w:b w:val="false"/>
          <w:bCs w:val="false"/>
          <w:i w:val="false"/>
          <w:iCs w:val="false"/>
          <w:sz w:val="22"/>
          <w:szCs w:val="22"/>
        </w:rPr>
        <w:t xml:space="preserve">arXiv is a widely used open-access repository for preprints in physics, mathematics, computer science and related fields. Its API returns results in an Atom/XML feed format. In this project, the arXiv API is queried by the Research Paper Discovery &amp; AI Analysis workflow using a constructed search query that combines the research topic and, optionally, additional keywords, sorted by submission date in descending order so that the most recently submitted papers are retrieved first.</w:t>
      </w:r>
    </w:p>
    <w:p>
      <w:pPr>
        <w:pStyle w:val="Heading2"/>
        <w:spacing w:after="160" w:before="280"/>
      </w:pPr>
      <w:r>
        <w:rPr>
          <w:rFonts w:ascii="Calibri" w:cs="Calibri" w:eastAsia="Calibri" w:hAnsi="Calibri"/>
          <w:b/>
          <w:bCs/>
          <w:color w:val="2E5395"/>
          <w:sz w:val="26"/>
          <w:szCs w:val="26"/>
        </w:rPr>
        <w:t xml:space="preserve">8.5 Google Sheets</w:t>
      </w:r>
    </w:p>
    <w:p>
      <w:pPr>
        <w:spacing w:after="160" w:line="276"/>
        <w:jc w:val="both"/>
      </w:pPr>
      <w:r>
        <w:rPr>
          <w:rFonts w:ascii="Calibri" w:cs="Calibri" w:eastAsia="Calibri" w:hAnsi="Calibri"/>
          <w:b w:val="false"/>
          <w:bCs w:val="false"/>
          <w:i w:val="false"/>
          <w:iCs w:val="false"/>
          <w:sz w:val="22"/>
          <w:szCs w:val="22"/>
        </w:rPr>
        <w:t xml:space="preserve">Google Sheets is used as the persistence layer for the project. The Research Paper Discovery &amp; AI Analysis workflow appends a new row to a designated spreadsheet, named "AI Research Assistant - Research Repository", for every paper it processes, storing the paper's title, abstract, authors, publication date, paper URL, PDF URL and the generated AI analysis text. Over time this spreadsheet accumulates into a structured, searchable repository of every paper the system has processed.</w:t>
      </w:r>
    </w:p>
    <w:p>
      <w:pPr>
        <w:pStyle w:val="Heading2"/>
        <w:spacing w:after="160" w:before="280"/>
      </w:pPr>
      <w:r>
        <w:rPr>
          <w:rFonts w:ascii="Calibri" w:cs="Calibri" w:eastAsia="Calibri" w:hAnsi="Calibri"/>
          <w:b/>
          <w:bCs/>
          <w:color w:val="2E5395"/>
          <w:sz w:val="26"/>
          <w:szCs w:val="26"/>
        </w:rPr>
        <w:t xml:space="preserve">8.6 Gmail</w:t>
      </w:r>
    </w:p>
    <w:p>
      <w:pPr>
        <w:spacing w:after="160" w:line="276"/>
        <w:jc w:val="both"/>
      </w:pPr>
      <w:r>
        <w:rPr>
          <w:rFonts w:ascii="Calibri" w:cs="Calibri" w:eastAsia="Calibri" w:hAnsi="Calibri"/>
          <w:b w:val="false"/>
          <w:bCs w:val="false"/>
          <w:i w:val="false"/>
          <w:iCs w:val="false"/>
          <w:sz w:val="22"/>
          <w:szCs w:val="22"/>
        </w:rPr>
        <w:t xml:space="preserve">Gmail is used as the delivery channel for the final research report. Once the report has been generated, the workflow sends an HTML-formatted email to the address supplied in the original request form, containing the research topic, research goal and the full generated report text.</w:t>
      </w:r>
    </w:p>
    <w:p>
      <w:pPr>
        <w:pStyle w:val="Heading2"/>
        <w:spacing w:after="160" w:before="280"/>
      </w:pPr>
      <w:r>
        <w:rPr>
          <w:rFonts w:ascii="Calibri" w:cs="Calibri" w:eastAsia="Calibri" w:hAnsi="Calibri"/>
          <w:b/>
          <w:bCs/>
          <w:color w:val="2E5395"/>
          <w:sz w:val="26"/>
          <w:szCs w:val="26"/>
        </w:rPr>
        <w:t xml:space="preserve">8.7 REST APIs</w:t>
      </w:r>
    </w:p>
    <w:p>
      <w:pPr>
        <w:spacing w:after="160" w:line="276"/>
        <w:jc w:val="both"/>
      </w:pPr>
      <w:r>
        <w:rPr>
          <w:rFonts w:ascii="Calibri" w:cs="Calibri" w:eastAsia="Calibri" w:hAnsi="Calibri"/>
          <w:b w:val="false"/>
          <w:bCs w:val="false"/>
          <w:i w:val="false"/>
          <w:iCs w:val="false"/>
          <w:sz w:val="22"/>
          <w:szCs w:val="22"/>
        </w:rPr>
        <w:t xml:space="preserve">Both the arXiv API and the OpenAlex API are consumed as REST APIs using n8n's built-in HTTP Request node, which is configured with the appropriate base URL and query parameters for each service. This REST-based integration pattern is what allows the workflows to remain fully decoupled from any specific database or hosting model for the literature sources.</w:t>
      </w:r>
    </w:p>
    <w:p>
      <w:pPr>
        <w:pStyle w:val="Heading2"/>
        <w:spacing w:after="160" w:before="280"/>
      </w:pPr>
      <w:r>
        <w:rPr>
          <w:rFonts w:ascii="Calibri" w:cs="Calibri" w:eastAsia="Calibri" w:hAnsi="Calibri"/>
          <w:b/>
          <w:bCs/>
          <w:color w:val="2E5395"/>
          <w:sz w:val="26"/>
          <w:szCs w:val="26"/>
        </w:rPr>
        <w:t xml:space="preserve">8.8 JSON</w:t>
      </w:r>
    </w:p>
    <w:p>
      <w:pPr>
        <w:spacing w:after="160" w:line="276"/>
        <w:jc w:val="both"/>
      </w:pPr>
      <w:r>
        <w:rPr>
          <w:rFonts w:ascii="Calibri" w:cs="Calibri" w:eastAsia="Calibri" w:hAnsi="Calibri"/>
          <w:b w:val="false"/>
          <w:bCs w:val="false"/>
          <w:i w:val="false"/>
          <w:iCs w:val="false"/>
          <w:sz w:val="22"/>
          <w:szCs w:val="22"/>
        </w:rPr>
        <w:t xml:space="preserve">JSON is the primary data interchange format used internally between nodes throughout all three workflows. Data retrieved from OpenAlex is already returned in JSON form, while data retrieved from arXiv is converted from XML into a JSON-compatible item structure by the XML node before being processed further. Data passed between workflows, such as the aggregated paper data sent to the Research Insight Generator, is explicitly serialised to a JSON string using JSON.stringify before being handed to the sub-workflow.</w:t>
      </w:r>
    </w:p>
    <w:p>
      <w:pPr>
        <w:pStyle w:val="Heading2"/>
        <w:spacing w:after="160" w:before="280"/>
      </w:pPr>
      <w:r>
        <w:rPr>
          <w:rFonts w:ascii="Calibri" w:cs="Calibri" w:eastAsia="Calibri" w:hAnsi="Calibri"/>
          <w:b/>
          <w:bCs/>
          <w:color w:val="2E5395"/>
          <w:sz w:val="26"/>
          <w:szCs w:val="26"/>
        </w:rPr>
        <w:t xml:space="preserve">8.9 XML</w:t>
      </w:r>
    </w:p>
    <w:p>
      <w:pPr>
        <w:spacing w:after="160" w:line="276"/>
        <w:jc w:val="both"/>
      </w:pPr>
      <w:r>
        <w:rPr>
          <w:rFonts w:ascii="Calibri" w:cs="Calibri" w:eastAsia="Calibri" w:hAnsi="Calibri"/>
          <w:b w:val="false"/>
          <w:bCs w:val="false"/>
          <w:i w:val="false"/>
          <w:iCs w:val="false"/>
          <w:sz w:val="22"/>
          <w:szCs w:val="22"/>
        </w:rPr>
        <w:t xml:space="preserve">XML is the native response format of the arXiv API. The Research Paper Discovery &amp; AI Analysis workflow uses a dedicated XML node to parse the returned Atom feed into a structured JSON object, from which the individual paper entries can subsequently be extracted using the Split Out node.</w:t>
      </w:r>
    </w:p>
    <w:p>
      <w:pPr>
        <w:pStyle w:val="Heading2"/>
        <w:spacing w:after="160" w:before="280"/>
      </w:pPr>
      <w:r>
        <w:rPr>
          <w:rFonts w:ascii="Calibri" w:cs="Calibri" w:eastAsia="Calibri" w:hAnsi="Calibri"/>
          <w:b/>
          <w:bCs/>
          <w:color w:val="2E5395"/>
          <w:sz w:val="26"/>
          <w:szCs w:val="26"/>
        </w:rPr>
        <w:t xml:space="preserve">8.10 Large Language Models (LLMs)</w:t>
      </w:r>
    </w:p>
    <w:p>
      <w:pPr>
        <w:spacing w:after="160" w:line="276"/>
        <w:jc w:val="both"/>
      </w:pPr>
      <w:r>
        <w:rPr>
          <w:rFonts w:ascii="Calibri" w:cs="Calibri" w:eastAsia="Calibri" w:hAnsi="Calibri"/>
          <w:b w:val="false"/>
          <w:bCs w:val="false"/>
          <w:i w:val="false"/>
          <w:iCs w:val="false"/>
          <w:sz w:val="22"/>
          <w:szCs w:val="22"/>
        </w:rPr>
        <w:t xml:space="preserve">Large language models are used throughout the pipeline as the core reasoning component that transforms raw paper metadata into human-readable analysis, recommendations and insights. Every LLM interaction in this project is implemented using n8n's Basic LLM Chain node together with an OpenAI Chat Model node configured to use GPT-5 Mini.</w:t>
      </w:r>
    </w:p>
    <w:p>
      <w:pPr>
        <w:pStyle w:val="Heading2"/>
        <w:spacing w:after="160" w:before="280"/>
      </w:pPr>
      <w:r>
        <w:rPr>
          <w:rFonts w:ascii="Calibri" w:cs="Calibri" w:eastAsia="Calibri" w:hAnsi="Calibri"/>
          <w:b/>
          <w:bCs/>
          <w:color w:val="2E5395"/>
          <w:sz w:val="26"/>
          <w:szCs w:val="26"/>
        </w:rPr>
        <w:t xml:space="preserve">8.11 Prompt Engineering</w:t>
      </w:r>
    </w:p>
    <w:p>
      <w:pPr>
        <w:spacing w:after="160" w:line="276"/>
        <w:jc w:val="both"/>
      </w:pPr>
      <w:r>
        <w:rPr>
          <w:rFonts w:ascii="Calibri" w:cs="Calibri" w:eastAsia="Calibri" w:hAnsi="Calibri"/>
          <w:b w:val="false"/>
          <w:bCs w:val="false"/>
          <w:i w:val="false"/>
          <w:iCs w:val="false"/>
          <w:sz w:val="22"/>
          <w:szCs w:val="22"/>
        </w:rPr>
        <w:t xml:space="preserve">Each of the four LLM chains in the project is driven by a carefully structured natural-language prompt that defines the model's role, provides the relevant input data through expressions, and specifies the exact structure of the expected output. Prompt engineering is discussed in detail in Section 15 of this report.</w:t>
      </w:r>
    </w:p>
    <w:p>
      <w:r>
        <w:br w:type="page"/>
      </w:r>
    </w:p>
    <w:p>
      <w:pPr>
        <w:pStyle w:val="Heading1"/>
        <w:spacing w:after="200" w:before="360"/>
      </w:pPr>
      <w:r>
        <w:rPr>
          <w:rFonts w:ascii="Calibri" w:cs="Calibri" w:eastAsia="Calibri" w:hAnsi="Calibri"/>
          <w:b/>
          <w:bCs/>
          <w:color w:val="1F3864"/>
          <w:sz w:val="32"/>
          <w:szCs w:val="32"/>
        </w:rPr>
        <w:t xml:space="preserve">Overall System Architecture</w:t>
      </w:r>
    </w:p>
    <w:p>
      <w:pPr>
        <w:spacing w:after="160" w:line="276"/>
        <w:jc w:val="both"/>
      </w:pPr>
      <w:r>
        <w:rPr>
          <w:rFonts w:ascii="Calibri" w:cs="Calibri" w:eastAsia="Calibri" w:hAnsi="Calibri"/>
          <w:b w:val="false"/>
          <w:bCs w:val="false"/>
          <w:i w:val="false"/>
          <w:iCs w:val="false"/>
          <w:sz w:val="22"/>
          <w:szCs w:val="22"/>
        </w:rPr>
        <w:t xml:space="preserve">Having introduced the individual technologies in Section 8, this section explains how they are combined into a single working architecture. The AI Research Assistant is composed of three independent n8n workflows that communicate with one another through n8n's Execute Workflow mechanism. Workflow 1, Research Paper Discovery &amp; AI Analysis, acts as the entry point and orchestrator: it is the only workflow with a user-facing trigger, and it is responsible for invoking both Workflow 2 and Workflow 3 as sub-workflows during its own execution. Workflow 2, AI Related Paper Recommendation Engine, and Workflow 3, Research Insight Generator, are both configured with an "Execute Workflow Trigger" node, meaning they cannot be started directly by an end user and are designed exclusively to be called from another workflow.</w:t>
      </w:r>
    </w:p>
    <w:p>
      <w:pPr>
        <w:pStyle w:val="Heading3"/>
        <w:spacing w:after="120" w:before="220"/>
      </w:pPr>
      <w:r>
        <w:rPr>
          <w:rFonts w:ascii="Calibri" w:cs="Calibri" w:eastAsia="Calibri" w:hAnsi="Calibri"/>
          <w:b/>
          <w:bCs/>
          <w:color w:val="44546A"/>
          <w:sz w:val="23"/>
          <w:szCs w:val="23"/>
        </w:rPr>
        <w:t xml:space="preserve">9.1 High-Level Data Flow</w:t>
      </w:r>
    </w:p>
    <w:p>
      <w:pPr>
        <w:pStyle w:val="ListParagraph"/>
        <w:numPr>
          <w:ilvl w:val="0"/>
          <w:numId w:val="3"/>
        </w:numPr>
        <w:spacing w:after="100" w:line="276"/>
      </w:pPr>
      <w:r>
        <w:rPr>
          <w:rFonts w:ascii="Calibri" w:cs="Calibri" w:eastAsia="Calibri" w:hAnsi="Calibri"/>
          <w:sz w:val="22"/>
          <w:szCs w:val="22"/>
        </w:rPr>
        <w:t xml:space="preserve">The end user submits the research request form embedded in Workflow 1, providing a research topic, optional keywords, a research goal, the desired number of papers, and an email address.</w:t>
      </w:r>
    </w:p>
    <w:p>
      <w:pPr>
        <w:pStyle w:val="ListParagraph"/>
        <w:numPr>
          <w:ilvl w:val="0"/>
          <w:numId w:val="3"/>
        </w:numPr>
        <w:spacing w:after="100" w:line="276"/>
      </w:pPr>
      <w:r>
        <w:rPr>
          <w:rFonts w:ascii="Calibri" w:cs="Calibri" w:eastAsia="Calibri" w:hAnsi="Calibri"/>
          <w:sz w:val="22"/>
          <w:szCs w:val="22"/>
        </w:rPr>
        <w:t xml:space="preserve">Workflow 1 immediately branches into two parallel paths: one path queries the arXiv API directly, while the second path calls Workflow 2, passing only the research topic.</w:t>
      </w:r>
    </w:p>
    <w:p>
      <w:pPr>
        <w:pStyle w:val="ListParagraph"/>
        <w:numPr>
          <w:ilvl w:val="0"/>
          <w:numId w:val="3"/>
        </w:numPr>
        <w:spacing w:after="100" w:line="276"/>
      </w:pPr>
      <w:r>
        <w:rPr>
          <w:rFonts w:ascii="Calibri" w:cs="Calibri" w:eastAsia="Calibri" w:hAnsi="Calibri"/>
          <w:sz w:val="22"/>
          <w:szCs w:val="22"/>
        </w:rPr>
        <w:t xml:space="preserve">On the arXiv path, Workflow 1 parses the XML response, splits it into individual paper entries, extracts structured metadata for each paper, and passes each paper through a GPT-5 Mini analysis chain.</w:t>
      </w:r>
    </w:p>
    <w:p>
      <w:pPr>
        <w:pStyle w:val="ListParagraph"/>
        <w:numPr>
          <w:ilvl w:val="0"/>
          <w:numId w:val="3"/>
        </w:numPr>
        <w:spacing w:after="100" w:line="276"/>
      </w:pPr>
      <w:r>
        <w:rPr>
          <w:rFonts w:ascii="Calibri" w:cs="Calibri" w:eastAsia="Calibri" w:hAnsi="Calibri"/>
          <w:sz w:val="22"/>
          <w:szCs w:val="22"/>
        </w:rPr>
        <w:t xml:space="preserve">Each analysed paper is appended as a row to the Google Sheets repository, and simultaneously collected for aggregation.</w:t>
      </w:r>
    </w:p>
    <w:p>
      <w:pPr>
        <w:pStyle w:val="ListParagraph"/>
        <w:numPr>
          <w:ilvl w:val="0"/>
          <w:numId w:val="3"/>
        </w:numPr>
        <w:spacing w:after="100" w:line="276"/>
      </w:pPr>
      <w:r>
        <w:rPr>
          <w:rFonts w:ascii="Calibri" w:cs="Calibri" w:eastAsia="Calibri" w:hAnsi="Calibri"/>
          <w:sz w:val="22"/>
          <w:szCs w:val="22"/>
        </w:rPr>
        <w:t xml:space="preserve">Once all papers have been analysed, Workflow 1 aggregates them into a single JSON object and calls Workflow 3, passing the research topic, the research goal, and the aggregated paper data.</w:t>
      </w:r>
    </w:p>
    <w:p>
      <w:pPr>
        <w:pStyle w:val="ListParagraph"/>
        <w:numPr>
          <w:ilvl w:val="0"/>
          <w:numId w:val="3"/>
        </w:numPr>
        <w:spacing w:after="100" w:line="276"/>
      </w:pPr>
      <w:r>
        <w:rPr>
          <w:rFonts w:ascii="Calibri" w:cs="Calibri" w:eastAsia="Calibri" w:hAnsi="Calibri"/>
          <w:sz w:val="22"/>
          <w:szCs w:val="22"/>
        </w:rPr>
        <w:t xml:space="preserve">Workflow 3 uses a dedicated GPT-5 Mini prompt to synthesise the aggregated paper data into structured research insights, and returns this text back to Workflow 1.</w:t>
      </w:r>
    </w:p>
    <w:p>
      <w:pPr>
        <w:pStyle w:val="ListParagraph"/>
        <w:numPr>
          <w:ilvl w:val="0"/>
          <w:numId w:val="3"/>
        </w:numPr>
        <w:spacing w:after="100" w:line="276"/>
      </w:pPr>
      <w:r>
        <w:rPr>
          <w:rFonts w:ascii="Calibri" w:cs="Calibri" w:eastAsia="Calibri" w:hAnsi="Calibri"/>
          <w:sz w:val="22"/>
          <w:szCs w:val="22"/>
        </w:rPr>
        <w:t xml:space="preserve">Workflow 1 uses a further GPT-5 Mini prompt to convert the returned insights into a final structured research report.</w:t>
      </w:r>
    </w:p>
    <w:p>
      <w:pPr>
        <w:pStyle w:val="ListParagraph"/>
        <w:numPr>
          <w:ilvl w:val="0"/>
          <w:numId w:val="3"/>
        </w:numPr>
        <w:spacing w:after="100" w:line="276"/>
      </w:pPr>
      <w:r>
        <w:rPr>
          <w:rFonts w:ascii="Calibri" w:cs="Calibri" w:eastAsia="Calibri" w:hAnsi="Calibri"/>
          <w:sz w:val="22"/>
          <w:szCs w:val="22"/>
        </w:rPr>
        <w:t xml:space="preserve">Workflow 1 sends the completed report by email, through Gmail, to the address supplied in the original form.</w:t>
      </w:r>
    </w:p>
    <w:p>
      <w:pPr>
        <w:pStyle w:val="ListParagraph"/>
        <w:numPr>
          <w:ilvl w:val="0"/>
          <w:numId w:val="3"/>
        </w:numPr>
        <w:spacing w:after="100" w:line="276"/>
      </w:pPr>
      <w:r>
        <w:rPr>
          <w:rFonts w:ascii="Calibri" w:cs="Calibri" w:eastAsia="Calibri" w:hAnsi="Calibri"/>
          <w:sz w:val="22"/>
          <w:szCs w:val="22"/>
        </w:rPr>
        <w:t xml:space="preserve">In parallel with steps 3-8, Workflow 2 queries the OpenAlex API for the same research topic, extracts metadata for each returned paper, and scores each paper for topical relevance using its own GPT-5 Mini prompt. Workflow 2 is invoked directly by Workflow 1 on every form submission, but its output is not currently routed onward into Workflow 1's spreadsheet or email steps; this interaction is examined in detail in Section 16.</w:t>
      </w:r>
    </w:p>
    <w:p>
      <w:pPr>
        <w:pStyle w:val="Heading3"/>
        <w:spacing w:after="120" w:before="220"/>
      </w:pPr>
      <w:r>
        <w:rPr>
          <w:rFonts w:ascii="Calibri" w:cs="Calibri" w:eastAsia="Calibri" w:hAnsi="Calibri"/>
          <w:b/>
          <w:bCs/>
          <w:color w:val="44546A"/>
          <w:sz w:val="23"/>
          <w:szCs w:val="23"/>
        </w:rPr>
        <w:t xml:space="preserve">9.2 Architecture Diagram</w:t>
      </w:r>
    </w:p>
    <w:p>
      <w:pPr>
        <w:spacing w:after="80" w:before="160"/>
        <w:jc w:val="center"/>
      </w:pPr>
      <w:r>
        <w:rPr>
          <w:rFonts w:ascii="Calibri" w:cs="Calibri" w:eastAsia="Calibri" w:hAnsi="Calibri"/>
          <w:b/>
          <w:bCs/>
          <w:color w:val="1F3864"/>
          <w:sz w:val="22"/>
          <w:szCs w:val="22"/>
        </w:rPr>
        <w:t xml:space="preserve">Figure 9.1: Overall System Architecture</w:t>
      </w:r>
    </w:p>
    <w:p>
      <w:pPr>
        <w:pBdr>
          <w:top w:val="single" w:color="999999" w:sz="4"/>
          <w:bottom w:val="single" w:color="999999" w:sz="4"/>
          <w:left w:val="single" w:color="999999" w:sz="4"/>
          <w:right w:val="single" w:color="999999" w:sz="4"/>
        </w:pBdr>
        <w:shd w:fill="F2F2F2" w:val="clear"/>
        <w:spacing w:after="120"/>
        <w:jc w:val="center"/>
      </w:pPr>
      <w:r>
        <w:rPr>
          <w:rFonts w:ascii="Calibri" w:cs="Calibri" w:eastAsia="Calibri" w:hAnsi="Calibri"/>
          <w:i/>
          <w:iCs/>
          <w:color w:val="595959"/>
          <w:sz w:val="22"/>
          <w:szCs w:val="22"/>
        </w:rPr>
        <w:t xml:space="preserve">[Insert Overall System Architecture]</w:t>
      </w:r>
    </w:p>
    <w:p>
      <w:pPr>
        <w:spacing w:after="200" w:line="276"/>
        <w:jc w:val="both"/>
      </w:pPr>
      <w:r>
        <w:rPr>
          <w:rFonts w:ascii="Calibri" w:cs="Calibri" w:eastAsia="Calibri" w:hAnsi="Calibri"/>
          <w:i/>
          <w:iCs/>
          <w:color w:val="404040"/>
          <w:sz w:val="22"/>
          <w:szCs w:val="22"/>
        </w:rPr>
        <w:t xml:space="preserve">This figure illustrates the complete system architecture, showing the user-facing form, the three n8n workflows, the two external literature APIs (arXiv and OpenAlex), the GPT-5 Mini language model, and the Google Sheets and Gmail integrations, with arrows indicating the direction of data flow described in Section 9.1.</w:t>
      </w:r>
    </w:p>
    <w:p>
      <w:pPr>
        <w:pStyle w:val="Heading3"/>
        <w:spacing w:after="120" w:before="220"/>
      </w:pPr>
      <w:r>
        <w:rPr>
          <w:rFonts w:ascii="Calibri" w:cs="Calibri" w:eastAsia="Calibri" w:hAnsi="Calibri"/>
          <w:b/>
          <w:bCs/>
          <w:color w:val="44546A"/>
          <w:sz w:val="23"/>
          <w:szCs w:val="23"/>
        </w:rPr>
        <w:t xml:space="preserve">9.3 Workflow Interaction Diagram</w:t>
      </w:r>
    </w:p>
    <w:p>
      <w:pPr>
        <w:spacing w:after="80" w:before="160"/>
        <w:jc w:val="center"/>
      </w:pPr>
      <w:r>
        <w:rPr>
          <w:rFonts w:ascii="Calibri" w:cs="Calibri" w:eastAsia="Calibri" w:hAnsi="Calibri"/>
          <w:b/>
          <w:bCs/>
          <w:color w:val="1F3864"/>
          <w:sz w:val="22"/>
          <w:szCs w:val="22"/>
        </w:rPr>
        <w:t xml:space="preserve">Figure 9.2: Workflow Interaction Diagram</w:t>
      </w:r>
    </w:p>
    <w:p>
      <w:pPr>
        <w:pBdr>
          <w:top w:val="single" w:color="999999" w:sz="4"/>
          <w:bottom w:val="single" w:color="999999" w:sz="4"/>
          <w:left w:val="single" w:color="999999" w:sz="4"/>
          <w:right w:val="single" w:color="999999" w:sz="4"/>
        </w:pBdr>
        <w:shd w:fill="F2F2F2" w:val="clear"/>
        <w:spacing w:after="120"/>
        <w:jc w:val="center"/>
      </w:pPr>
      <w:r>
        <w:rPr>
          <w:rFonts w:ascii="Calibri" w:cs="Calibri" w:eastAsia="Calibri" w:hAnsi="Calibri"/>
          <w:i/>
          <w:iCs/>
          <w:color w:val="595959"/>
          <w:sz w:val="22"/>
          <w:szCs w:val="22"/>
        </w:rPr>
        <w:t xml:space="preserve">[Insert Workflow Interaction Diagram]</w:t>
      </w:r>
    </w:p>
    <w:p>
      <w:pPr>
        <w:spacing w:after="200" w:line="276"/>
        <w:jc w:val="both"/>
      </w:pPr>
      <w:r>
        <w:rPr>
          <w:rFonts w:ascii="Calibri" w:cs="Calibri" w:eastAsia="Calibri" w:hAnsi="Calibri"/>
          <w:i/>
          <w:iCs/>
          <w:color w:val="404040"/>
          <w:sz w:val="22"/>
          <w:szCs w:val="22"/>
        </w:rPr>
        <w:t xml:space="preserve">This figure illustrates how Workflow 1, Workflow 2 and Workflow 3 are connected through n8n's Execute Workflow mechanism, and identifies the specific data values — Research Topic, Research Goal, Paper Data and Research Insights — exchanged between them, as described in Section 16.</w:t>
      </w:r>
    </w:p>
    <w:p>
      <w:r>
        <w:br w:type="page"/>
      </w:r>
    </w:p>
    <w:p>
      <w:pPr>
        <w:pStyle w:val="Heading1"/>
        <w:spacing w:after="200" w:before="360"/>
      </w:pPr>
      <w:r>
        <w:rPr>
          <w:rFonts w:ascii="Calibri" w:cs="Calibri" w:eastAsia="Calibri" w:hAnsi="Calibri"/>
          <w:b/>
          <w:bCs/>
          <w:color w:val="1F3864"/>
          <w:sz w:val="32"/>
          <w:szCs w:val="32"/>
        </w:rPr>
        <w:t xml:space="preserve">Workflow Documentation</w:t>
      </w:r>
    </w:p>
    <w:p>
      <w:pPr>
        <w:spacing w:after="160" w:line="276"/>
        <w:jc w:val="both"/>
      </w:pPr>
      <w:r>
        <w:rPr>
          <w:rFonts w:ascii="Calibri" w:cs="Calibri" w:eastAsia="Calibri" w:hAnsi="Calibri"/>
          <w:b w:val="false"/>
          <w:bCs w:val="false"/>
          <w:i w:val="false"/>
          <w:iCs w:val="false"/>
          <w:sz w:val="22"/>
          <w:szCs w:val="22"/>
        </w:rPr>
        <w:t xml:space="preserve">Section 9 described how the three workflows fit together at an architectural level. This section, together with Sections 11 to 13, provides a complete node-by-node description of each workflow implemented in the AI Research Assistant. For every workflow, its name, purpose, trigger mechanism, complete node list, a detailed explanation of each node's configuration, its inputs and outputs, its data flow, the prompts used, error-handling considerations, its advantages, and supporting figures are provided.</w:t>
      </w:r>
    </w:p>
    <w:p>
      <w:r>
        <w:br w:type="page"/>
      </w:r>
    </w:p>
    <w:p>
      <w:pPr>
        <w:pStyle w:val="Heading1"/>
        <w:spacing w:after="200" w:before="360"/>
      </w:pPr>
      <w:r>
        <w:rPr>
          <w:rFonts w:ascii="Calibri" w:cs="Calibri" w:eastAsia="Calibri" w:hAnsi="Calibri"/>
          <w:b/>
          <w:bCs/>
          <w:color w:val="1F3864"/>
          <w:sz w:val="32"/>
          <w:szCs w:val="32"/>
        </w:rPr>
        <w:t xml:space="preserve">Workflow 01: Research Paper Discovery &amp; AI Analysis</w:t>
      </w:r>
    </w:p>
    <w:p>
      <w:pPr>
        <w:pStyle w:val="Heading2"/>
        <w:spacing w:after="160" w:before="280"/>
      </w:pPr>
      <w:r>
        <w:rPr>
          <w:rFonts w:ascii="Calibri" w:cs="Calibri" w:eastAsia="Calibri" w:hAnsi="Calibri"/>
          <w:b/>
          <w:bCs/>
          <w:color w:val="2E5395"/>
          <w:sz w:val="26"/>
          <w:szCs w:val="26"/>
        </w:rPr>
        <w:t xml:space="preserve">11.1 Workflow Name</w:t>
      </w:r>
    </w:p>
    <w:p>
      <w:pPr>
        <w:spacing w:after="160" w:line="276"/>
        <w:jc w:val="both"/>
      </w:pPr>
      <w:r>
        <w:rPr>
          <w:rFonts w:ascii="Calibri" w:cs="Calibri" w:eastAsia="Calibri" w:hAnsi="Calibri"/>
          <w:b w:val="false"/>
          <w:bCs w:val="false"/>
          <w:i w:val="false"/>
          <w:iCs w:val="false"/>
          <w:sz w:val="22"/>
          <w:szCs w:val="22"/>
        </w:rPr>
        <w:t xml:space="preserve">Research Paper Discovery &amp; AI Analysis. As introduced in Section 9, this workflow is the primary orchestrator of the overall architecture.</w:t>
      </w:r>
    </w:p>
    <w:p>
      <w:pPr>
        <w:pStyle w:val="Heading2"/>
        <w:spacing w:after="160" w:before="280"/>
      </w:pPr>
      <w:r>
        <w:rPr>
          <w:rFonts w:ascii="Calibri" w:cs="Calibri" w:eastAsia="Calibri" w:hAnsi="Calibri"/>
          <w:b/>
          <w:bCs/>
          <w:color w:val="2E5395"/>
          <w:sz w:val="26"/>
          <w:szCs w:val="26"/>
        </w:rPr>
        <w:t xml:space="preserve">11.2 Purpose</w:t>
      </w:r>
    </w:p>
    <w:p>
      <w:pPr>
        <w:spacing w:after="160" w:line="276"/>
        <w:jc w:val="both"/>
      </w:pPr>
      <w:r>
        <w:rPr>
          <w:rFonts w:ascii="Calibri" w:cs="Calibri" w:eastAsia="Calibri" w:hAnsi="Calibri"/>
          <w:b w:val="false"/>
          <w:bCs w:val="false"/>
          <w:i w:val="false"/>
          <w:iCs w:val="false"/>
          <w:sz w:val="22"/>
          <w:szCs w:val="22"/>
        </w:rPr>
        <w:t xml:space="preserve">This workflow is the primary, user-facing entry point of the AI Research Assistant. It collects a research request from the user through a web form, retrieves matching papers from the arXiv API, generates an AI analysis for each paper, stores the results in Google Sheets, orchestrates the two remaining workflows, and emails a final consolidated research report back to the user.</w:t>
      </w:r>
    </w:p>
    <w:p>
      <w:pPr>
        <w:pStyle w:val="Heading2"/>
        <w:spacing w:after="160" w:before="280"/>
      </w:pPr>
      <w:r>
        <w:rPr>
          <w:rFonts w:ascii="Calibri" w:cs="Calibri" w:eastAsia="Calibri" w:hAnsi="Calibri"/>
          <w:b/>
          <w:bCs/>
          <w:color w:val="2E5395"/>
          <w:sz w:val="26"/>
          <w:szCs w:val="26"/>
        </w:rPr>
        <w:t xml:space="preserve">11.3 Trigger</w:t>
      </w:r>
    </w:p>
    <w:p>
      <w:pPr>
        <w:spacing w:after="160" w:line="276"/>
        <w:jc w:val="both"/>
      </w:pPr>
      <w:r>
        <w:rPr>
          <w:rFonts w:ascii="Calibri" w:cs="Calibri" w:eastAsia="Calibri" w:hAnsi="Calibri"/>
          <w:b w:val="false"/>
          <w:bCs w:val="false"/>
          <w:i w:val="false"/>
          <w:iCs w:val="false"/>
          <w:sz w:val="22"/>
          <w:szCs w:val="22"/>
        </w:rPr>
        <w:t xml:space="preserve">The workflow is triggered by an n8n Form Trigger node named "On form submission". The form is titled "AI Research Assistant" and displays the description: "Enter your research interests to discover relevant academic papers, generate AI-powered summaries, identify key insights, and receive personalized research recommendations." The form collects the following fields:</w:t>
      </w:r>
    </w:p>
    <w:p>
      <w:pPr>
        <w:pStyle w:val="ListParagraph"/>
        <w:numPr>
          <w:ilvl w:val="0"/>
          <w:numId w:val="2"/>
        </w:numPr>
        <w:spacing w:after="100" w:line="276"/>
      </w:pPr>
      <w:r>
        <w:rPr>
          <w:rFonts w:ascii="Calibri" w:cs="Calibri" w:eastAsia="Calibri" w:hAnsi="Calibri"/>
          <w:sz w:val="22"/>
          <w:szCs w:val="22"/>
        </w:rPr>
        <w:t xml:space="preserve">Research Topic — free text, required.</w:t>
      </w:r>
    </w:p>
    <w:p>
      <w:pPr>
        <w:pStyle w:val="ListParagraph"/>
        <w:numPr>
          <w:ilvl w:val="0"/>
          <w:numId w:val="2"/>
        </w:numPr>
        <w:spacing w:after="100" w:line="276"/>
      </w:pPr>
      <w:r>
        <w:rPr>
          <w:rFonts w:ascii="Calibri" w:cs="Calibri" w:eastAsia="Calibri" w:hAnsi="Calibri"/>
          <w:sz w:val="22"/>
          <w:szCs w:val="22"/>
        </w:rPr>
        <w:t xml:space="preserve">Research Keywords — free text, optional.</w:t>
      </w:r>
    </w:p>
    <w:p>
      <w:pPr>
        <w:pStyle w:val="ListParagraph"/>
        <w:numPr>
          <w:ilvl w:val="0"/>
          <w:numId w:val="2"/>
        </w:numPr>
        <w:spacing w:after="100" w:line="276"/>
      </w:pPr>
      <w:r>
        <w:rPr>
          <w:rFonts w:ascii="Calibri" w:cs="Calibri" w:eastAsia="Calibri" w:hAnsi="Calibri"/>
          <w:sz w:val="22"/>
          <w:szCs w:val="22"/>
        </w:rPr>
        <w:t xml:space="preserve">Research Goal — free text, required.</w:t>
      </w:r>
    </w:p>
    <w:p>
      <w:pPr>
        <w:pStyle w:val="ListParagraph"/>
        <w:numPr>
          <w:ilvl w:val="0"/>
          <w:numId w:val="2"/>
        </w:numPr>
        <w:spacing w:after="100" w:line="276"/>
      </w:pPr>
      <w:r>
        <w:rPr>
          <w:rFonts w:ascii="Calibri" w:cs="Calibri" w:eastAsia="Calibri" w:hAnsi="Calibri"/>
          <w:sz w:val="22"/>
          <w:szCs w:val="22"/>
        </w:rPr>
        <w:t xml:space="preserve">Number of Papers — dropdown with options 5, 10 or 15, required.</w:t>
      </w:r>
    </w:p>
    <w:p>
      <w:pPr>
        <w:pStyle w:val="ListParagraph"/>
        <w:numPr>
          <w:ilvl w:val="0"/>
          <w:numId w:val="2"/>
        </w:numPr>
        <w:spacing w:after="100" w:line="276"/>
      </w:pPr>
      <w:r>
        <w:rPr>
          <w:rFonts w:ascii="Calibri" w:cs="Calibri" w:eastAsia="Calibri" w:hAnsi="Calibri"/>
          <w:sz w:val="22"/>
          <w:szCs w:val="22"/>
        </w:rPr>
        <w:t xml:space="preserve">Email Address — email field, required.</w:t>
      </w:r>
    </w:p>
    <w:p>
      <w:pPr>
        <w:pStyle w:val="Heading2"/>
        <w:spacing w:after="160" w:before="280"/>
      </w:pPr>
      <w:r>
        <w:rPr>
          <w:rFonts w:ascii="Calibri" w:cs="Calibri" w:eastAsia="Calibri" w:hAnsi="Calibri"/>
          <w:b/>
          <w:bCs/>
          <w:color w:val="2E5395"/>
          <w:sz w:val="26"/>
          <w:szCs w:val="26"/>
        </w:rPr>
        <w:t xml:space="preserve">11.4 Nodes Used</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500"/>
        <w:gridCol w:w="5500"/>
        <w:gridCol w:w="3000"/>
      </w:tblGrid>
      <w:tr>
        <w:trPr>
          <w:tblHeader/>
        </w:trPr>
        <w:tc>
          <w:tcPr>
            <w:tcW w:type="dxa" w:w="500"/>
            <w:shd w:fill="1F3864" w:val="clear"/>
            <w:tcMar>
              <w:top w:type="dxa" w:w="80"/>
              <w:left w:type="dxa" w:w="100"/>
              <w:bottom w:type="dxa" w:w="80"/>
              <w:right w:type="dxa" w:w="100"/>
            </w:tcMar>
            <w:vAlign w:val="center"/>
          </w:tcPr>
          <w:p>
            <w:r>
              <w:rPr>
                <w:rFonts w:ascii="Calibri" w:cs="Calibri" w:eastAsia="Calibri" w:hAnsi="Calibri"/>
                <w:b/>
                <w:bCs/>
                <w:color w:val="FFFFFF"/>
                <w:sz w:val="20"/>
                <w:szCs w:val="20"/>
              </w:rPr>
              <w:t xml:space="preserve">#</w:t>
            </w:r>
          </w:p>
        </w:tc>
        <w:tc>
          <w:tcPr>
            <w:tcW w:type="dxa" w:w="5500"/>
            <w:shd w:fill="1F3864" w:val="clear"/>
            <w:tcMar>
              <w:top w:type="dxa" w:w="80"/>
              <w:left w:type="dxa" w:w="100"/>
              <w:bottom w:type="dxa" w:w="80"/>
              <w:right w:type="dxa" w:w="100"/>
            </w:tcMar>
            <w:vAlign w:val="center"/>
          </w:tcPr>
          <w:p>
            <w:r>
              <w:rPr>
                <w:rFonts w:ascii="Calibri" w:cs="Calibri" w:eastAsia="Calibri" w:hAnsi="Calibri"/>
                <w:b/>
                <w:bCs/>
                <w:color w:val="FFFFFF"/>
                <w:sz w:val="20"/>
                <w:szCs w:val="20"/>
              </w:rPr>
              <w:t xml:space="preserve">Node Name</w:t>
            </w:r>
          </w:p>
        </w:tc>
        <w:tc>
          <w:tcPr>
            <w:tcW w:type="dxa" w:w="3000"/>
            <w:shd w:fill="1F3864" w:val="clear"/>
            <w:tcMar>
              <w:top w:type="dxa" w:w="80"/>
              <w:left w:type="dxa" w:w="100"/>
              <w:bottom w:type="dxa" w:w="80"/>
              <w:right w:type="dxa" w:w="100"/>
            </w:tcMar>
            <w:vAlign w:val="center"/>
          </w:tcPr>
          <w:p>
            <w:r>
              <w:rPr>
                <w:rFonts w:ascii="Calibri" w:cs="Calibri" w:eastAsia="Calibri" w:hAnsi="Calibri"/>
                <w:b/>
                <w:bCs/>
                <w:color w:val="FFFFFF"/>
                <w:sz w:val="20"/>
                <w:szCs w:val="20"/>
              </w:rPr>
              <w:t xml:space="preserve">Node Type</w:t>
            </w:r>
          </w:p>
        </w:tc>
      </w:tr>
      <w:tr>
        <w:tc>
          <w:tcPr>
            <w:tcW w:type="dxa" w:w="50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1</w:t>
            </w:r>
          </w:p>
        </w:tc>
        <w:tc>
          <w:tcPr>
            <w:tcW w:type="dxa" w:w="550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On form submission</w:t>
            </w:r>
          </w:p>
        </w:tc>
        <w:tc>
          <w:tcPr>
            <w:tcW w:type="dxa" w:w="300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Form Trigger</w:t>
            </w:r>
          </w:p>
        </w:tc>
      </w:tr>
      <w:tr>
        <w:tc>
          <w:tcPr>
            <w:tcW w:type="dxa" w:w="500"/>
            <w:shd w:fill="F2F2F2" w:val="clear"/>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2</w:t>
            </w:r>
          </w:p>
        </w:tc>
        <w:tc>
          <w:tcPr>
            <w:tcW w:type="dxa" w:w="5500"/>
            <w:shd w:fill="F2F2F2" w:val="clear"/>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HTTP Request</w:t>
            </w:r>
          </w:p>
        </w:tc>
        <w:tc>
          <w:tcPr>
            <w:tcW w:type="dxa" w:w="3000"/>
            <w:shd w:fill="F2F2F2" w:val="clear"/>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HTTP Request (arXiv API)</w:t>
            </w:r>
          </w:p>
        </w:tc>
      </w:tr>
      <w:tr>
        <w:tc>
          <w:tcPr>
            <w:tcW w:type="dxa" w:w="50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3</w:t>
            </w:r>
          </w:p>
        </w:tc>
        <w:tc>
          <w:tcPr>
            <w:tcW w:type="dxa" w:w="550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XML</w:t>
            </w:r>
          </w:p>
        </w:tc>
        <w:tc>
          <w:tcPr>
            <w:tcW w:type="dxa" w:w="300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XML Parser</w:t>
            </w:r>
          </w:p>
        </w:tc>
      </w:tr>
      <w:tr>
        <w:tc>
          <w:tcPr>
            <w:tcW w:type="dxa" w:w="500"/>
            <w:shd w:fill="F2F2F2" w:val="clear"/>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4</w:t>
            </w:r>
          </w:p>
        </w:tc>
        <w:tc>
          <w:tcPr>
            <w:tcW w:type="dxa" w:w="5500"/>
            <w:shd w:fill="F2F2F2" w:val="clear"/>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Split Out</w:t>
            </w:r>
          </w:p>
        </w:tc>
        <w:tc>
          <w:tcPr>
            <w:tcW w:type="dxa" w:w="3000"/>
            <w:shd w:fill="F2F2F2" w:val="clear"/>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Split Out (feed.entry)</w:t>
            </w:r>
          </w:p>
        </w:tc>
      </w:tr>
      <w:tr>
        <w:tc>
          <w:tcPr>
            <w:tcW w:type="dxa" w:w="50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5</w:t>
            </w:r>
          </w:p>
        </w:tc>
        <w:tc>
          <w:tcPr>
            <w:tcW w:type="dxa" w:w="550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Edit Fields</w:t>
            </w:r>
          </w:p>
        </w:tc>
        <w:tc>
          <w:tcPr>
            <w:tcW w:type="dxa" w:w="300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Set — paper metadata mapping</w:t>
            </w:r>
          </w:p>
        </w:tc>
      </w:tr>
      <w:tr>
        <w:tc>
          <w:tcPr>
            <w:tcW w:type="dxa" w:w="500"/>
            <w:shd w:fill="F2F2F2" w:val="clear"/>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6</w:t>
            </w:r>
          </w:p>
        </w:tc>
        <w:tc>
          <w:tcPr>
            <w:tcW w:type="dxa" w:w="5500"/>
            <w:shd w:fill="F2F2F2" w:val="clear"/>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Basic LLM Chain</w:t>
            </w:r>
          </w:p>
        </w:tc>
        <w:tc>
          <w:tcPr>
            <w:tcW w:type="dxa" w:w="3000"/>
            <w:shd w:fill="F2F2F2" w:val="clear"/>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LangChain LLM Chain — paper analysis</w:t>
            </w:r>
          </w:p>
        </w:tc>
      </w:tr>
      <w:tr>
        <w:tc>
          <w:tcPr>
            <w:tcW w:type="dxa" w:w="50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7</w:t>
            </w:r>
          </w:p>
        </w:tc>
        <w:tc>
          <w:tcPr>
            <w:tcW w:type="dxa" w:w="550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OpenAI Chat Model</w:t>
            </w:r>
          </w:p>
        </w:tc>
        <w:tc>
          <w:tcPr>
            <w:tcW w:type="dxa" w:w="300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LangChain OpenAI Chat Model (gpt-5-mini)</w:t>
            </w:r>
          </w:p>
        </w:tc>
      </w:tr>
      <w:tr>
        <w:tc>
          <w:tcPr>
            <w:tcW w:type="dxa" w:w="500"/>
            <w:shd w:fill="F2F2F2" w:val="clear"/>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8</w:t>
            </w:r>
          </w:p>
        </w:tc>
        <w:tc>
          <w:tcPr>
            <w:tcW w:type="dxa" w:w="5500"/>
            <w:shd w:fill="F2F2F2" w:val="clear"/>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Edit Fields1</w:t>
            </w:r>
          </w:p>
        </w:tc>
        <w:tc>
          <w:tcPr>
            <w:tcW w:type="dxa" w:w="3000"/>
            <w:shd w:fill="F2F2F2" w:val="clear"/>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Set — attaches AI Analysis field</w:t>
            </w:r>
          </w:p>
        </w:tc>
      </w:tr>
      <w:tr>
        <w:tc>
          <w:tcPr>
            <w:tcW w:type="dxa" w:w="50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9</w:t>
            </w:r>
          </w:p>
        </w:tc>
        <w:tc>
          <w:tcPr>
            <w:tcW w:type="dxa" w:w="550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Append row in sheet</w:t>
            </w:r>
          </w:p>
        </w:tc>
        <w:tc>
          <w:tcPr>
            <w:tcW w:type="dxa" w:w="300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Google Sheets — append</w:t>
            </w:r>
          </w:p>
        </w:tc>
      </w:tr>
      <w:tr>
        <w:tc>
          <w:tcPr>
            <w:tcW w:type="dxa" w:w="500"/>
            <w:shd w:fill="F2F2F2" w:val="clear"/>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10</w:t>
            </w:r>
          </w:p>
        </w:tc>
        <w:tc>
          <w:tcPr>
            <w:tcW w:type="dxa" w:w="5500"/>
            <w:shd w:fill="F2F2F2" w:val="clear"/>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Call '02 - AI Related Paper Recommendation Engine'</w:t>
            </w:r>
          </w:p>
        </w:tc>
        <w:tc>
          <w:tcPr>
            <w:tcW w:type="dxa" w:w="3000"/>
            <w:shd w:fill="F2F2F2" w:val="clear"/>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Execute Workflow</w:t>
            </w:r>
          </w:p>
        </w:tc>
      </w:tr>
      <w:tr>
        <w:tc>
          <w:tcPr>
            <w:tcW w:type="dxa" w:w="50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11</w:t>
            </w:r>
          </w:p>
        </w:tc>
        <w:tc>
          <w:tcPr>
            <w:tcW w:type="dxa" w:w="550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Aggregate</w:t>
            </w:r>
          </w:p>
        </w:tc>
        <w:tc>
          <w:tcPr>
            <w:tcW w:type="dxa" w:w="300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Aggregate — combines all analysed papers</w:t>
            </w:r>
          </w:p>
        </w:tc>
      </w:tr>
      <w:tr>
        <w:tc>
          <w:tcPr>
            <w:tcW w:type="dxa" w:w="500"/>
            <w:shd w:fill="F2F2F2" w:val="clear"/>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12</w:t>
            </w:r>
          </w:p>
        </w:tc>
        <w:tc>
          <w:tcPr>
            <w:tcW w:type="dxa" w:w="5500"/>
            <w:shd w:fill="F2F2F2" w:val="clear"/>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Call '03 - Research Insight Generator'</w:t>
            </w:r>
          </w:p>
        </w:tc>
        <w:tc>
          <w:tcPr>
            <w:tcW w:type="dxa" w:w="3000"/>
            <w:shd w:fill="F2F2F2" w:val="clear"/>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Execute Workflow</w:t>
            </w:r>
          </w:p>
        </w:tc>
      </w:tr>
      <w:tr>
        <w:tc>
          <w:tcPr>
            <w:tcW w:type="dxa" w:w="50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13</w:t>
            </w:r>
          </w:p>
        </w:tc>
        <w:tc>
          <w:tcPr>
            <w:tcW w:type="dxa" w:w="550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Edit Fields2</w:t>
            </w:r>
          </w:p>
        </w:tc>
        <w:tc>
          <w:tcPr>
            <w:tcW w:type="dxa" w:w="300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Set — attaches Research Insights field</w:t>
            </w:r>
          </w:p>
        </w:tc>
      </w:tr>
      <w:tr>
        <w:tc>
          <w:tcPr>
            <w:tcW w:type="dxa" w:w="500"/>
            <w:shd w:fill="F2F2F2" w:val="clear"/>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14</w:t>
            </w:r>
          </w:p>
        </w:tc>
        <w:tc>
          <w:tcPr>
            <w:tcW w:type="dxa" w:w="5500"/>
            <w:shd w:fill="F2F2F2" w:val="clear"/>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Basic LLM Chain1</w:t>
            </w:r>
          </w:p>
        </w:tc>
        <w:tc>
          <w:tcPr>
            <w:tcW w:type="dxa" w:w="3000"/>
            <w:shd w:fill="F2F2F2" w:val="clear"/>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LangChain LLM Chain — final report generation</w:t>
            </w:r>
          </w:p>
        </w:tc>
      </w:tr>
      <w:tr>
        <w:tc>
          <w:tcPr>
            <w:tcW w:type="dxa" w:w="50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15</w:t>
            </w:r>
          </w:p>
        </w:tc>
        <w:tc>
          <w:tcPr>
            <w:tcW w:type="dxa" w:w="550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OpenAI Chat Model1</w:t>
            </w:r>
          </w:p>
        </w:tc>
        <w:tc>
          <w:tcPr>
            <w:tcW w:type="dxa" w:w="300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LangChain OpenAI Chat Model (gpt-5-mini)</w:t>
            </w:r>
          </w:p>
        </w:tc>
      </w:tr>
      <w:tr>
        <w:tc>
          <w:tcPr>
            <w:tcW w:type="dxa" w:w="500"/>
            <w:shd w:fill="F2F2F2" w:val="clear"/>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16</w:t>
            </w:r>
          </w:p>
        </w:tc>
        <w:tc>
          <w:tcPr>
            <w:tcW w:type="dxa" w:w="5500"/>
            <w:shd w:fill="F2F2F2" w:val="clear"/>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Send a message</w:t>
            </w:r>
          </w:p>
        </w:tc>
        <w:tc>
          <w:tcPr>
            <w:tcW w:type="dxa" w:w="3000"/>
            <w:shd w:fill="F2F2F2" w:val="clear"/>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Gmail — send report email</w:t>
            </w:r>
          </w:p>
        </w:tc>
      </w:tr>
    </w:tbl>
    <w:p>
      <w:pPr>
        <w:pStyle w:val="Heading2"/>
        <w:spacing w:after="160" w:before="280"/>
      </w:pPr>
      <w:r>
        <w:rPr>
          <w:rFonts w:ascii="Calibri" w:cs="Calibri" w:eastAsia="Calibri" w:hAnsi="Calibri"/>
          <w:b/>
          <w:bCs/>
          <w:color w:val="2E5395"/>
          <w:sz w:val="26"/>
          <w:szCs w:val="26"/>
        </w:rPr>
        <w:t xml:space="preserve">11.5 Detailed Node-by-Node Explanation</w:t>
      </w:r>
    </w:p>
    <w:p>
      <w:pPr>
        <w:pStyle w:val="Heading3"/>
        <w:spacing w:after="120" w:before="220"/>
      </w:pPr>
      <w:r>
        <w:rPr>
          <w:rFonts w:ascii="Calibri" w:cs="Calibri" w:eastAsia="Calibri" w:hAnsi="Calibri"/>
          <w:b/>
          <w:bCs/>
          <w:color w:val="44546A"/>
          <w:sz w:val="23"/>
          <w:szCs w:val="23"/>
        </w:rPr>
        <w:t xml:space="preserve">11.5.1 On form submission (Form Trigger)</w:t>
      </w:r>
    </w:p>
    <w:p>
      <w:pPr>
        <w:spacing w:after="160" w:line="276"/>
        <w:jc w:val="both"/>
      </w:pPr>
      <w:r>
        <w:rPr>
          <w:rFonts w:ascii="Calibri" w:cs="Calibri" w:eastAsia="Calibri" w:hAnsi="Calibri"/>
          <w:b w:val="false"/>
          <w:bCs w:val="false"/>
          <w:i w:val="false"/>
          <w:iCs w:val="false"/>
          <w:sz w:val="22"/>
          <w:szCs w:val="22"/>
        </w:rPr>
        <w:t xml:space="preserve">This is the starting node of the workflow. It renders a web form with the five fields described above and produces one output item containing the submitted values, keyed by field label (for example, $json["Research Topic"]). Execution of the entire workflow begins the moment the form is submitted.</w:t>
      </w:r>
    </w:p>
    <w:p>
      <w:pPr>
        <w:pStyle w:val="Heading3"/>
        <w:spacing w:after="120" w:before="220"/>
      </w:pPr>
      <w:r>
        <w:rPr>
          <w:rFonts w:ascii="Calibri" w:cs="Calibri" w:eastAsia="Calibri" w:hAnsi="Calibri"/>
          <w:b/>
          <w:bCs/>
          <w:color w:val="44546A"/>
          <w:sz w:val="23"/>
          <w:szCs w:val="23"/>
        </w:rPr>
        <w:t xml:space="preserve">11.5.2 HTTP Request (arXiv query)</w:t>
      </w:r>
    </w:p>
    <w:p>
      <w:pPr>
        <w:spacing w:after="160" w:line="276"/>
        <w:jc w:val="both"/>
      </w:pPr>
      <w:r>
        <w:rPr>
          <w:rFonts w:ascii="Calibri" w:cs="Calibri" w:eastAsia="Calibri" w:hAnsi="Calibri"/>
          <w:b w:val="false"/>
          <w:bCs w:val="false"/>
          <w:i w:val="false"/>
          <w:iCs w:val="false"/>
          <w:sz w:val="22"/>
          <w:szCs w:val="22"/>
        </w:rPr>
        <w:t xml:space="preserve">This node sends a GET request to https://export.arxiv.org/api/query. The search_query parameter is built dynamically using an n8n expression that wraps the Research Topic in an all: field search, and, if Research Keywords were supplied, appends an AND all:(...) clause containing each comma-separated keyword joined by OR. The start parameter is fixed at 0, max_results is set to the Number of Papers value chosen in the form, sortBy is set to submittedDate, and sortOrder is set to descending, so that the most recently submitted matching papers are returned first.</w:t>
      </w:r>
    </w:p>
    <w:p>
      <w:pPr>
        <w:pStyle w:val="Heading3"/>
        <w:spacing w:after="120" w:before="220"/>
      </w:pPr>
      <w:r>
        <w:rPr>
          <w:rFonts w:ascii="Calibri" w:cs="Calibri" w:eastAsia="Calibri" w:hAnsi="Calibri"/>
          <w:b/>
          <w:bCs/>
          <w:color w:val="44546A"/>
          <w:sz w:val="23"/>
          <w:szCs w:val="23"/>
        </w:rPr>
        <w:t xml:space="preserve">11.5.3 XML (Parser)</w:t>
      </w:r>
    </w:p>
    <w:p>
      <w:pPr>
        <w:spacing w:after="160" w:line="276"/>
        <w:jc w:val="both"/>
      </w:pPr>
      <w:r>
        <w:rPr>
          <w:rFonts w:ascii="Calibri" w:cs="Calibri" w:eastAsia="Calibri" w:hAnsi="Calibri"/>
          <w:b w:val="false"/>
          <w:bCs w:val="false"/>
          <w:i w:val="false"/>
          <w:iCs w:val="false"/>
          <w:sz w:val="22"/>
          <w:szCs w:val="22"/>
        </w:rPr>
        <w:t xml:space="preserve">Because the arXiv API returns an Atom XML feed rather than JSON, this node parses the raw XML body of the HTTP Request node's response into a structured JSON object that mirrors the XML element hierarchy, most importantly under a feed.entry array containing one object per returned paper.</w:t>
      </w:r>
    </w:p>
    <w:p>
      <w:pPr>
        <w:pStyle w:val="Heading3"/>
        <w:spacing w:after="120" w:before="220"/>
      </w:pPr>
      <w:r>
        <w:rPr>
          <w:rFonts w:ascii="Calibri" w:cs="Calibri" w:eastAsia="Calibri" w:hAnsi="Calibri"/>
          <w:b/>
          <w:bCs/>
          <w:color w:val="44546A"/>
          <w:sz w:val="23"/>
          <w:szCs w:val="23"/>
        </w:rPr>
        <w:t xml:space="preserve">11.5.4 Split Out</w:t>
      </w:r>
    </w:p>
    <w:p>
      <w:pPr>
        <w:spacing w:after="160" w:line="276"/>
        <w:jc w:val="both"/>
      </w:pPr>
      <w:r>
        <w:rPr>
          <w:rFonts w:ascii="Calibri" w:cs="Calibri" w:eastAsia="Calibri" w:hAnsi="Calibri"/>
          <w:b w:val="false"/>
          <w:bCs w:val="false"/>
          <w:i w:val="false"/>
          <w:iCs w:val="false"/>
          <w:sz w:val="22"/>
          <w:szCs w:val="22"/>
        </w:rPr>
        <w:t xml:space="preserve">This node splits the single item containing the feed.entry array produced by the XML node into one separate n8n item per paper, using feed.entry as the field to split out. This allows every subsequent node in the chain to operate on exactly one paper at a time.</w:t>
      </w:r>
    </w:p>
    <w:p>
      <w:pPr>
        <w:pStyle w:val="Heading3"/>
        <w:spacing w:after="120" w:before="220"/>
      </w:pPr>
      <w:r>
        <w:rPr>
          <w:rFonts w:ascii="Calibri" w:cs="Calibri" w:eastAsia="Calibri" w:hAnsi="Calibri"/>
          <w:b/>
          <w:bCs/>
          <w:color w:val="44546A"/>
          <w:sz w:val="23"/>
          <w:szCs w:val="23"/>
        </w:rPr>
        <w:t xml:space="preserve">11.5.5 Edit Fields (metadata mapping)</w:t>
      </w:r>
    </w:p>
    <w:p>
      <w:pPr>
        <w:spacing w:after="160" w:line="276"/>
        <w:jc w:val="both"/>
      </w:pPr>
      <w:r>
        <w:rPr>
          <w:rFonts w:ascii="Calibri" w:cs="Calibri" w:eastAsia="Calibri" w:hAnsi="Calibri"/>
          <w:b w:val="false"/>
          <w:bCs w:val="false"/>
          <w:i w:val="false"/>
          <w:iCs w:val="false"/>
          <w:sz w:val="22"/>
          <w:szCs w:val="22"/>
        </w:rPr>
        <w:t xml:space="preserve">This Set node maps the raw, deeply nested arXiv entry fields into a flat, clearly named structure used throughout the rest of the workflow: Title ($json.title), Abstract ($json.summary), Authors (built from the author array/object, joining multiple author display names with a comma), Published Date ($json.published), Paper URL ($json.id), and PDF URL (extracted from the link array by finding the entry whose type equals "application/pdf").</w:t>
      </w:r>
    </w:p>
    <w:p>
      <w:pPr>
        <w:pStyle w:val="Heading3"/>
        <w:spacing w:after="120" w:before="220"/>
      </w:pPr>
      <w:r>
        <w:rPr>
          <w:rFonts w:ascii="Calibri" w:cs="Calibri" w:eastAsia="Calibri" w:hAnsi="Calibri"/>
          <w:b/>
          <w:bCs/>
          <w:color w:val="44546A"/>
          <w:sz w:val="23"/>
          <w:szCs w:val="23"/>
        </w:rPr>
        <w:t xml:space="preserve">11.5.6 Basic LLM Chain (paper analysis)</w:t>
      </w:r>
    </w:p>
    <w:p>
      <w:pPr>
        <w:spacing w:after="160" w:line="276"/>
        <w:jc w:val="both"/>
      </w:pPr>
      <w:r>
        <w:rPr>
          <w:rFonts w:ascii="Calibri" w:cs="Calibri" w:eastAsia="Calibri" w:hAnsi="Calibri"/>
          <w:b w:val="false"/>
          <w:bCs w:val="false"/>
          <w:i w:val="false"/>
          <w:iCs w:val="false"/>
          <w:sz w:val="22"/>
          <w:szCs w:val="22"/>
        </w:rPr>
        <w:t xml:space="preserve">This LangChain-based node sends a structured prompt to GPT-5 Mini (through the connected OpenAI Chat Model node) for every individual paper. The prompt instructs the model to act as an "AI Research Assistant" and, using only the paper's title and abstract, produce: a concise 3-4 sentence summary, 3-5 key findings or contributions, 5 important keywords, the main research gap or limitation, and a brief explanation of why the paper may be useful to a researcher. The prompt explicitly instructs the model not to invent information beyond what is supported by the title and abstract. The node's output is placed in the text field of the resulting item.</w:t>
      </w:r>
    </w:p>
    <w:p>
      <w:pPr>
        <w:pStyle w:val="Heading3"/>
        <w:spacing w:after="120" w:before="220"/>
      </w:pPr>
      <w:r>
        <w:rPr>
          <w:rFonts w:ascii="Calibri" w:cs="Calibri" w:eastAsia="Calibri" w:hAnsi="Calibri"/>
          <w:b/>
          <w:bCs/>
          <w:color w:val="44546A"/>
          <w:sz w:val="23"/>
          <w:szCs w:val="23"/>
        </w:rPr>
        <w:t xml:space="preserve">11.5.7 OpenAI Chat Model</w:t>
      </w:r>
    </w:p>
    <w:p>
      <w:pPr>
        <w:spacing w:after="160" w:line="276"/>
        <w:jc w:val="both"/>
      </w:pPr>
      <w:r>
        <w:rPr>
          <w:rFonts w:ascii="Calibri" w:cs="Calibri" w:eastAsia="Calibri" w:hAnsi="Calibri"/>
          <w:b w:val="false"/>
          <w:bCs w:val="false"/>
          <w:i w:val="false"/>
          <w:iCs w:val="false"/>
          <w:sz w:val="22"/>
          <w:szCs w:val="22"/>
        </w:rPr>
        <w:t xml:space="preserve">This node supplies the language model used by the Basic LLM Chain node above. It is configured to use the gpt-5-mini model through an OpenAI account credential, and is connected to the Basic LLM Chain node via the ai_languageModel connection type rather than the ordinary main data connection.</w:t>
      </w:r>
    </w:p>
    <w:p>
      <w:pPr>
        <w:pStyle w:val="Heading3"/>
        <w:spacing w:after="120" w:before="220"/>
      </w:pPr>
      <w:r>
        <w:rPr>
          <w:rFonts w:ascii="Calibri" w:cs="Calibri" w:eastAsia="Calibri" w:hAnsi="Calibri"/>
          <w:b/>
          <w:bCs/>
          <w:color w:val="44546A"/>
          <w:sz w:val="23"/>
          <w:szCs w:val="23"/>
        </w:rPr>
        <w:t xml:space="preserve">11.5.8 Edit Fields1</w:t>
      </w:r>
    </w:p>
    <w:p>
      <w:pPr>
        <w:spacing w:after="160" w:line="276"/>
        <w:jc w:val="both"/>
      </w:pPr>
      <w:r>
        <w:rPr>
          <w:rFonts w:ascii="Calibri" w:cs="Calibri" w:eastAsia="Calibri" w:hAnsi="Calibri"/>
          <w:b w:val="false"/>
          <w:bCs w:val="false"/>
          <w:i w:val="false"/>
          <w:iCs w:val="false"/>
          <w:sz w:val="22"/>
          <w:szCs w:val="22"/>
        </w:rPr>
        <w:t xml:space="preserve">This Set node takes the LLM's raw text output and stores it under a new field named AI Analysis. The node is configured with includeOtherFields set to true, meaning the original paper metadata (Title, Abstract, Authors, Published Date, Paper URL, PDF URL) produced earlier by Edit Fields is preserved alongside the new AI Analysis field, rather than being discarded.</w:t>
      </w:r>
    </w:p>
    <w:p>
      <w:pPr>
        <w:pStyle w:val="Heading3"/>
        <w:spacing w:after="120" w:before="220"/>
      </w:pPr>
      <w:r>
        <w:rPr>
          <w:rFonts w:ascii="Calibri" w:cs="Calibri" w:eastAsia="Calibri" w:hAnsi="Calibri"/>
          <w:b/>
          <w:bCs/>
          <w:color w:val="44546A"/>
          <w:sz w:val="23"/>
          <w:szCs w:val="23"/>
        </w:rPr>
        <w:t xml:space="preserve">11.5.9 Append row in sheet (Google Sheets)</w:t>
      </w:r>
    </w:p>
    <w:p>
      <w:pPr>
        <w:spacing w:after="160" w:line="276"/>
        <w:jc w:val="both"/>
      </w:pPr>
      <w:r>
        <w:rPr>
          <w:rFonts w:ascii="Calibri" w:cs="Calibri" w:eastAsia="Calibri" w:hAnsi="Calibri"/>
          <w:b w:val="false"/>
          <w:bCs w:val="false"/>
          <w:i w:val="false"/>
          <w:iCs w:val="false"/>
          <w:sz w:val="22"/>
          <w:szCs w:val="22"/>
        </w:rPr>
        <w:t xml:space="preserve">This node appends one new row to the "Research Papers" sheet inside a Google Sheets spreadsheet named "AI Research Assistant - Research Repository". The row is populated with Title, Abstract, Authors, Published Date, Paper URL, PDF URL and AI Analysis, each mapped explicitly from the fields produced by the Edit Fields and Edit Fields1 nodes.</w:t>
      </w:r>
    </w:p>
    <w:p>
      <w:pPr>
        <w:pStyle w:val="Heading3"/>
        <w:spacing w:after="120" w:before="220"/>
      </w:pPr>
      <w:r>
        <w:rPr>
          <w:rFonts w:ascii="Calibri" w:cs="Calibri" w:eastAsia="Calibri" w:hAnsi="Calibri"/>
          <w:b/>
          <w:bCs/>
          <w:color w:val="44546A"/>
          <w:sz w:val="23"/>
          <w:szCs w:val="23"/>
        </w:rPr>
        <w:t xml:space="preserve">11.5.10 Call '02 - AI Related Paper Recommendation Engine' (Execute Workflow)</w:t>
      </w:r>
    </w:p>
    <w:p>
      <w:pPr>
        <w:spacing w:after="160" w:line="276"/>
        <w:jc w:val="both"/>
      </w:pPr>
      <w:r>
        <w:rPr>
          <w:rFonts w:ascii="Calibri" w:cs="Calibri" w:eastAsia="Calibri" w:hAnsi="Calibri"/>
          <w:b w:val="false"/>
          <w:bCs w:val="false"/>
          <w:i w:val="false"/>
          <w:iCs w:val="false"/>
          <w:sz w:val="22"/>
          <w:szCs w:val="22"/>
        </w:rPr>
        <w:t xml:space="preserve">This node is connected directly from the On form submission trigger, so it runs in parallel with the arXiv discovery path rather than after it. It invokes Workflow 2 by its workflow ID, passing a single input value, Research Topic, taken directly from the original form submission.</w:t>
      </w:r>
    </w:p>
    <w:p>
      <w:pPr>
        <w:pStyle w:val="Heading3"/>
        <w:spacing w:after="120" w:before="220"/>
      </w:pPr>
      <w:r>
        <w:rPr>
          <w:rFonts w:ascii="Calibri" w:cs="Calibri" w:eastAsia="Calibri" w:hAnsi="Calibri"/>
          <w:b/>
          <w:bCs/>
          <w:color w:val="44546A"/>
          <w:sz w:val="23"/>
          <w:szCs w:val="23"/>
        </w:rPr>
        <w:t xml:space="preserve">11.5.11 Aggregate</w:t>
      </w:r>
    </w:p>
    <w:p>
      <w:pPr>
        <w:spacing w:after="160" w:line="276"/>
        <w:jc w:val="both"/>
      </w:pPr>
      <w:r>
        <w:rPr>
          <w:rFonts w:ascii="Calibri" w:cs="Calibri" w:eastAsia="Calibri" w:hAnsi="Calibri"/>
          <w:b w:val="false"/>
          <w:bCs w:val="false"/>
          <w:i w:val="false"/>
          <w:iCs w:val="false"/>
          <w:sz w:val="22"/>
          <w:szCs w:val="22"/>
        </w:rPr>
        <w:t xml:space="preserve">This node receives the stream of individual analysed-paper items produced by Edit Fields1 and combines them into a single item, using the aggregateAllItemData mode, under a destination field named papers. This converts the many-items-per-paper structure back into one item representing the full set of analysed papers, which is required before the data can be passed as a single input value to another workflow.</w:t>
      </w:r>
    </w:p>
    <w:p>
      <w:pPr>
        <w:pStyle w:val="Heading3"/>
        <w:spacing w:after="120" w:before="220"/>
      </w:pPr>
      <w:r>
        <w:rPr>
          <w:rFonts w:ascii="Calibri" w:cs="Calibri" w:eastAsia="Calibri" w:hAnsi="Calibri"/>
          <w:b/>
          <w:bCs/>
          <w:color w:val="44546A"/>
          <w:sz w:val="23"/>
          <w:szCs w:val="23"/>
        </w:rPr>
        <w:t xml:space="preserve">11.5.12 Call '03 - Research Insight Generator' (Execute Workflow)</w:t>
      </w:r>
    </w:p>
    <w:p>
      <w:pPr>
        <w:spacing w:after="160" w:line="276"/>
        <w:jc w:val="both"/>
      </w:pPr>
      <w:r>
        <w:rPr>
          <w:rFonts w:ascii="Calibri" w:cs="Calibri" w:eastAsia="Calibri" w:hAnsi="Calibri"/>
          <w:b w:val="false"/>
          <w:bCs w:val="false"/>
          <w:i w:val="false"/>
          <w:iCs w:val="false"/>
          <w:sz w:val="22"/>
          <w:szCs w:val="22"/>
        </w:rPr>
        <w:t xml:space="preserve">This node invokes Workflow 3 by its workflow ID, passing three input values: Research Topic and Research Goal, both taken from the original form submission, and Paper Data, which is built using JSON.stringify over every item produced by the Edit Fields1 node (that is, every analysed paper's full metadata and AI analysis, serialised as a single JSON string).</w:t>
      </w:r>
    </w:p>
    <w:p>
      <w:pPr>
        <w:pStyle w:val="Heading3"/>
        <w:spacing w:after="120" w:before="220"/>
      </w:pPr>
      <w:r>
        <w:rPr>
          <w:rFonts w:ascii="Calibri" w:cs="Calibri" w:eastAsia="Calibri" w:hAnsi="Calibri"/>
          <w:b/>
          <w:bCs/>
          <w:color w:val="44546A"/>
          <w:sz w:val="23"/>
          <w:szCs w:val="23"/>
        </w:rPr>
        <w:t xml:space="preserve">11.5.13 Edit Fields2</w:t>
      </w:r>
    </w:p>
    <w:p>
      <w:pPr>
        <w:spacing w:after="160" w:line="276"/>
        <w:jc w:val="both"/>
      </w:pPr>
      <w:r>
        <w:rPr>
          <w:rFonts w:ascii="Calibri" w:cs="Calibri" w:eastAsia="Calibri" w:hAnsi="Calibri"/>
          <w:b w:val="false"/>
          <w:bCs w:val="false"/>
          <w:i w:val="false"/>
          <w:iCs w:val="false"/>
          <w:sz w:val="22"/>
          <w:szCs w:val="22"/>
        </w:rPr>
        <w:t xml:space="preserve">This Set node receives the response from Workflow 3 and stores it under a field named Research Insights, again with includeOtherFields set to true so that other returned fields are not discarded.</w:t>
      </w:r>
    </w:p>
    <w:p>
      <w:pPr>
        <w:pStyle w:val="Heading3"/>
        <w:spacing w:after="120" w:before="220"/>
      </w:pPr>
      <w:r>
        <w:rPr>
          <w:rFonts w:ascii="Calibri" w:cs="Calibri" w:eastAsia="Calibri" w:hAnsi="Calibri"/>
          <w:b/>
          <w:bCs/>
          <w:color w:val="44546A"/>
          <w:sz w:val="23"/>
          <w:szCs w:val="23"/>
        </w:rPr>
        <w:t xml:space="preserve">11.5.14 Basic LLM Chain1 (final report generation)</w:t>
      </w:r>
    </w:p>
    <w:p>
      <w:pPr>
        <w:spacing w:after="160" w:line="276"/>
        <w:jc w:val="both"/>
      </w:pPr>
      <w:r>
        <w:rPr>
          <w:rFonts w:ascii="Calibri" w:cs="Calibri" w:eastAsia="Calibri" w:hAnsi="Calibri"/>
          <w:b w:val="false"/>
          <w:bCs w:val="false"/>
          <w:i w:val="false"/>
          <w:iCs w:val="false"/>
          <w:sz w:val="22"/>
          <w:szCs w:val="22"/>
        </w:rPr>
        <w:t xml:space="preserve">This second LLM chain node builds the final research report. Its prompt instructs GPT-5 Mini to create a professional final research report using the Research Topic, Research Goal, and the Research Insights text produced by Workflow 3, structured into seven sections: Executive Summary, Key Research Themes, Major Findings, Research Gaps, Emerging Trends, Recommended Future Research Directions, and Conclusion. The prompt again explicitly instructs the model not to invent findings beyond what is supported by the supplied research insights.</w:t>
      </w:r>
    </w:p>
    <w:p>
      <w:pPr>
        <w:pStyle w:val="Heading3"/>
        <w:spacing w:after="120" w:before="220"/>
      </w:pPr>
      <w:r>
        <w:rPr>
          <w:rFonts w:ascii="Calibri" w:cs="Calibri" w:eastAsia="Calibri" w:hAnsi="Calibri"/>
          <w:b/>
          <w:bCs/>
          <w:color w:val="44546A"/>
          <w:sz w:val="23"/>
          <w:szCs w:val="23"/>
        </w:rPr>
        <w:t xml:space="preserve">11.5.15 OpenAI Chat Model1</w:t>
      </w:r>
    </w:p>
    <w:p>
      <w:pPr>
        <w:spacing w:after="160" w:line="276"/>
        <w:jc w:val="both"/>
      </w:pPr>
      <w:r>
        <w:rPr>
          <w:rFonts w:ascii="Calibri" w:cs="Calibri" w:eastAsia="Calibri" w:hAnsi="Calibri"/>
          <w:b w:val="false"/>
          <w:bCs w:val="false"/>
          <w:i w:val="false"/>
          <w:iCs w:val="false"/>
          <w:sz w:val="22"/>
          <w:szCs w:val="22"/>
        </w:rPr>
        <w:t xml:space="preserve">This node supplies the gpt-5-mini language model to Basic LLM Chain1, functioning identically to the OpenAI Chat Model node described in Section 11.5.7, but as a separate node instance dedicated to the final report generation step.</w:t>
      </w:r>
    </w:p>
    <w:p>
      <w:pPr>
        <w:pStyle w:val="Heading3"/>
        <w:spacing w:after="120" w:before="220"/>
      </w:pPr>
      <w:r>
        <w:rPr>
          <w:rFonts w:ascii="Calibri" w:cs="Calibri" w:eastAsia="Calibri" w:hAnsi="Calibri"/>
          <w:b/>
          <w:bCs/>
          <w:color w:val="44546A"/>
          <w:sz w:val="23"/>
          <w:szCs w:val="23"/>
        </w:rPr>
        <w:t xml:space="preserve">11.5.16 Send a message (Gmail)</w:t>
      </w:r>
    </w:p>
    <w:p>
      <w:pPr>
        <w:spacing w:after="160" w:line="276"/>
        <w:jc w:val="both"/>
      </w:pPr>
      <w:r>
        <w:rPr>
          <w:rFonts w:ascii="Calibri" w:cs="Calibri" w:eastAsia="Calibri" w:hAnsi="Calibri"/>
          <w:b w:val="false"/>
          <w:bCs w:val="false"/>
          <w:i w:val="false"/>
          <w:iCs w:val="false"/>
          <w:sz w:val="22"/>
          <w:szCs w:val="22"/>
        </w:rPr>
        <w:t xml:space="preserve">This is the final node in the workflow. It sends an email, through a connected Gmail account, to the Email Address supplied in the original form submission. The subject line is dynamically built as "AI Research Report - " followed by the research topic. The message body is an HTML fragment containing a heading, the research topic, the research goal, a horizontal rule, the generated report text (wrapped in a &lt;div&gt; with white-space: pre-wrap so that line breaks in the LLM output are preserved), a second horizontal rule, and a closing note stating that the report was generated by the AI Research Assistant.</w:t>
      </w:r>
    </w:p>
    <w:p>
      <w:pPr>
        <w:pStyle w:val="Heading2"/>
        <w:spacing w:after="160" w:before="280"/>
      </w:pPr>
      <w:r>
        <w:rPr>
          <w:rFonts w:ascii="Calibri" w:cs="Calibri" w:eastAsia="Calibri" w:hAnsi="Calibri"/>
          <w:b/>
          <w:bCs/>
          <w:color w:val="2E5395"/>
          <w:sz w:val="26"/>
          <w:szCs w:val="26"/>
        </w:rPr>
        <w:t xml:space="preserve">11.6 Inputs</w:t>
      </w:r>
    </w:p>
    <w:p>
      <w:pPr>
        <w:pStyle w:val="ListParagraph"/>
        <w:numPr>
          <w:ilvl w:val="0"/>
          <w:numId w:val="2"/>
        </w:numPr>
        <w:spacing w:after="100" w:line="276"/>
      </w:pPr>
      <w:r>
        <w:rPr>
          <w:rFonts w:ascii="Calibri" w:cs="Calibri" w:eastAsia="Calibri" w:hAnsi="Calibri"/>
          <w:sz w:val="22"/>
          <w:szCs w:val="22"/>
        </w:rPr>
        <w:t xml:space="preserve">Research Topic, Research Keywords, Research Goal, Number of Papers and Email Address, supplied by the user through the form.</w:t>
      </w:r>
    </w:p>
    <w:p>
      <w:pPr>
        <w:pStyle w:val="Heading2"/>
        <w:spacing w:after="160" w:before="280"/>
      </w:pPr>
      <w:r>
        <w:rPr>
          <w:rFonts w:ascii="Calibri" w:cs="Calibri" w:eastAsia="Calibri" w:hAnsi="Calibri"/>
          <w:b/>
          <w:bCs/>
          <w:color w:val="2E5395"/>
          <w:sz w:val="26"/>
          <w:szCs w:val="26"/>
        </w:rPr>
        <w:t xml:space="preserve">11.7 Outputs</w:t>
      </w:r>
    </w:p>
    <w:p>
      <w:pPr>
        <w:pStyle w:val="ListParagraph"/>
        <w:numPr>
          <w:ilvl w:val="0"/>
          <w:numId w:val="2"/>
        </w:numPr>
        <w:spacing w:after="100" w:line="276"/>
      </w:pPr>
      <w:r>
        <w:rPr>
          <w:rFonts w:ascii="Calibri" w:cs="Calibri" w:eastAsia="Calibri" w:hAnsi="Calibri"/>
          <w:sz w:val="22"/>
          <w:szCs w:val="22"/>
        </w:rPr>
        <w:t xml:space="preserve">New rows appended to the Google Sheets research repository, one per analysed arXiv paper.</w:t>
      </w:r>
    </w:p>
    <w:p>
      <w:pPr>
        <w:pStyle w:val="ListParagraph"/>
        <w:numPr>
          <w:ilvl w:val="0"/>
          <w:numId w:val="2"/>
        </w:numPr>
        <w:spacing w:after="100" w:line="276"/>
      </w:pPr>
      <w:r>
        <w:rPr>
          <w:rFonts w:ascii="Calibri" w:cs="Calibri" w:eastAsia="Calibri" w:hAnsi="Calibri"/>
          <w:sz w:val="22"/>
          <w:szCs w:val="22"/>
        </w:rPr>
        <w:t xml:space="preserve">A final structured research report delivered by email to the user's supplied address.</w:t>
      </w:r>
    </w:p>
    <w:p>
      <w:pPr>
        <w:pStyle w:val="ListParagraph"/>
        <w:numPr>
          <w:ilvl w:val="0"/>
          <w:numId w:val="2"/>
        </w:numPr>
        <w:spacing w:after="100" w:line="276"/>
      </w:pPr>
      <w:r>
        <w:rPr>
          <w:rFonts w:ascii="Calibri" w:cs="Calibri" w:eastAsia="Calibri" w:hAnsi="Calibri"/>
          <w:sz w:val="22"/>
          <w:szCs w:val="22"/>
        </w:rPr>
        <w:t xml:space="preserve">Downstream invocation of Workflow 2 (recommendation scoring) and Workflow 3 (insight generation), each producing their own internal outputs.</w:t>
      </w:r>
    </w:p>
    <w:p>
      <w:pPr>
        <w:pStyle w:val="Heading2"/>
        <w:spacing w:after="160" w:before="280"/>
      </w:pPr>
      <w:r>
        <w:rPr>
          <w:rFonts w:ascii="Calibri" w:cs="Calibri" w:eastAsia="Calibri" w:hAnsi="Calibri"/>
          <w:b/>
          <w:bCs/>
          <w:color w:val="2E5395"/>
          <w:sz w:val="26"/>
          <w:szCs w:val="26"/>
        </w:rPr>
        <w:t xml:space="preserve">11.8 Data Flow Summary</w:t>
      </w:r>
    </w:p>
    <w:p>
      <w:pPr>
        <w:spacing w:after="160" w:line="276"/>
        <w:jc w:val="both"/>
      </w:pPr>
      <w:r>
        <w:rPr>
          <w:rFonts w:ascii="Calibri" w:cs="Calibri" w:eastAsia="Calibri" w:hAnsi="Calibri"/>
          <w:b w:val="false"/>
          <w:bCs w:val="false"/>
          <w:i w:val="false"/>
          <w:iCs w:val="false"/>
          <w:sz w:val="22"/>
          <w:szCs w:val="22"/>
        </w:rPr>
        <w:t xml:space="preserve">Form submission -&gt; [parallel branch A: HTTP Request -&gt; XML -&gt; Split Out -&gt; Edit Fields -&gt; Basic LLM Chain -&gt; Edit Fields1 -&gt; (Append row in sheet AND Aggregate) -&gt; Call Workflow 03 -&gt; Edit Fields2 -&gt; Basic LLM Chain1 -&gt; Send a message] and [parallel branch B: Call Workflow 02].</w:t>
      </w:r>
    </w:p>
    <w:p>
      <w:pPr>
        <w:pStyle w:val="Heading2"/>
        <w:spacing w:after="160" w:before="280"/>
      </w:pPr>
      <w:r>
        <w:rPr>
          <w:rFonts w:ascii="Calibri" w:cs="Calibri" w:eastAsia="Calibri" w:hAnsi="Calibri"/>
          <w:b/>
          <w:bCs/>
          <w:color w:val="2E5395"/>
          <w:sz w:val="26"/>
          <w:szCs w:val="26"/>
        </w:rPr>
        <w:t xml:space="preserve">11.9 Prompt Explanation</w:t>
      </w:r>
    </w:p>
    <w:p>
      <w:pPr>
        <w:spacing w:after="160" w:line="276"/>
        <w:jc w:val="both"/>
      </w:pPr>
      <w:r>
        <w:rPr>
          <w:rFonts w:ascii="Calibri" w:cs="Calibri" w:eastAsia="Calibri" w:hAnsi="Calibri"/>
          <w:b w:val="false"/>
          <w:bCs w:val="false"/>
          <w:i w:val="false"/>
          <w:iCs w:val="false"/>
          <w:sz w:val="22"/>
          <w:szCs w:val="22"/>
        </w:rPr>
        <w:t xml:space="preserve">Workflow 1 contains two distinct prompts. The first, used in Basic LLM Chain, is a per-paper analysis prompt that constrains the model to the supplied title and abstract only, and requests five specific analytical outputs (summary, findings, keywords, gap, usefulness). The second, used in Basic LLM Chain1, is a report-compilation prompt that takes the already-synthesised research insights (rather than raw papers) and organises them into a seven-section professional report format. Both prompts include an explicit instruction not to invent information beyond what is supported by the provided data, which is a deliberate measure to reduce hallucination in the generated text.</w:t>
      </w:r>
    </w:p>
    <w:p>
      <w:pPr>
        <w:pStyle w:val="Heading2"/>
        <w:spacing w:after="160" w:before="280"/>
      </w:pPr>
      <w:r>
        <w:rPr>
          <w:rFonts w:ascii="Calibri" w:cs="Calibri" w:eastAsia="Calibri" w:hAnsi="Calibri"/>
          <w:b/>
          <w:bCs/>
          <w:color w:val="2E5395"/>
          <w:sz w:val="26"/>
          <w:szCs w:val="26"/>
        </w:rPr>
        <w:t xml:space="preserve">11.10 Error Handling</w:t>
      </w:r>
    </w:p>
    <w:p>
      <w:pPr>
        <w:spacing w:after="160" w:line="276"/>
        <w:jc w:val="both"/>
      </w:pPr>
      <w:r>
        <w:rPr>
          <w:rFonts w:ascii="Calibri" w:cs="Calibri" w:eastAsia="Calibri" w:hAnsi="Calibri"/>
          <w:b w:val="false"/>
          <w:bCs w:val="false"/>
          <w:i w:val="false"/>
          <w:iCs w:val="false"/>
          <w:sz w:val="22"/>
          <w:szCs w:val="22"/>
        </w:rPr>
        <w:t xml:space="preserve">The workflow, as exported, relies on n8n's default node-level error behaviour; no dedicated Error Trigger workflow, retry-on-fail configuration, or custom try/catch branching is defined on any node. Practically, this means that if the arXiv API request fails, if the XML response cannot be parsed, or if the Gmail node encounters an authentication error, the corresponding execution will stop and be marked as failed in the n8n executions log, which an administrator can inspect. This is discussed further as a limitation in Section 20.</w:t>
      </w:r>
    </w:p>
    <w:p>
      <w:pPr>
        <w:pStyle w:val="Heading2"/>
        <w:spacing w:after="160" w:before="280"/>
      </w:pPr>
      <w:r>
        <w:rPr>
          <w:rFonts w:ascii="Calibri" w:cs="Calibri" w:eastAsia="Calibri" w:hAnsi="Calibri"/>
          <w:b/>
          <w:bCs/>
          <w:color w:val="2E5395"/>
          <w:sz w:val="26"/>
          <w:szCs w:val="26"/>
        </w:rPr>
        <w:t xml:space="preserve">11.11 Advantages</w:t>
      </w:r>
    </w:p>
    <w:p>
      <w:pPr>
        <w:pStyle w:val="ListParagraph"/>
        <w:numPr>
          <w:ilvl w:val="0"/>
          <w:numId w:val="2"/>
        </w:numPr>
        <w:spacing w:after="100" w:line="276"/>
      </w:pPr>
      <w:r>
        <w:rPr>
          <w:rFonts w:ascii="Calibri" w:cs="Calibri" w:eastAsia="Calibri" w:hAnsi="Calibri"/>
          <w:sz w:val="22"/>
          <w:szCs w:val="22"/>
        </w:rPr>
        <w:t xml:space="preserve">Single form-based entry point makes the entire pipeline accessible to a non-technical end user.</w:t>
      </w:r>
    </w:p>
    <w:p>
      <w:pPr>
        <w:pStyle w:val="ListParagraph"/>
        <w:numPr>
          <w:ilvl w:val="0"/>
          <w:numId w:val="2"/>
        </w:numPr>
        <w:spacing w:after="100" w:line="276"/>
      </w:pPr>
      <w:r>
        <w:rPr>
          <w:rFonts w:ascii="Calibri" w:cs="Calibri" w:eastAsia="Calibri" w:hAnsi="Calibri"/>
          <w:sz w:val="22"/>
          <w:szCs w:val="22"/>
        </w:rPr>
        <w:t xml:space="preserve">Automatic parallel invocation of the recommendation engine avoids blocking the primary discovery path.</w:t>
      </w:r>
    </w:p>
    <w:p>
      <w:pPr>
        <w:pStyle w:val="ListParagraph"/>
        <w:numPr>
          <w:ilvl w:val="0"/>
          <w:numId w:val="2"/>
        </w:numPr>
        <w:spacing w:after="100" w:line="276"/>
      </w:pPr>
      <w:r>
        <w:rPr>
          <w:rFonts w:ascii="Calibri" w:cs="Calibri" w:eastAsia="Calibri" w:hAnsi="Calibri"/>
          <w:sz w:val="22"/>
          <w:szCs w:val="22"/>
        </w:rPr>
        <w:t xml:space="preserve">Aggregation of all analysed papers into one payload keeps the call to the insight-generation workflow efficient and self-contained.</w:t>
      </w:r>
    </w:p>
    <w:p>
      <w:pPr>
        <w:pStyle w:val="ListParagraph"/>
        <w:numPr>
          <w:ilvl w:val="0"/>
          <w:numId w:val="2"/>
        </w:numPr>
        <w:spacing w:after="100" w:line="276"/>
      </w:pPr>
      <w:r>
        <w:rPr>
          <w:rFonts w:ascii="Calibri" w:cs="Calibri" w:eastAsia="Calibri" w:hAnsi="Calibri"/>
          <w:sz w:val="22"/>
          <w:szCs w:val="22"/>
        </w:rPr>
        <w:t xml:space="preserve">Persisting every analysed paper to Google Sheets creates a durable, growing research repository independent of any single execution.</w:t>
      </w:r>
    </w:p>
    <w:p>
      <w:pPr>
        <w:pStyle w:val="Heading2"/>
        <w:spacing w:after="160" w:before="280"/>
      </w:pPr>
      <w:r>
        <w:rPr>
          <w:rFonts w:ascii="Calibri" w:cs="Calibri" w:eastAsia="Calibri" w:hAnsi="Calibri"/>
          <w:b/>
          <w:bCs/>
          <w:color w:val="2E5395"/>
          <w:sz w:val="26"/>
          <w:szCs w:val="26"/>
        </w:rPr>
        <w:t xml:space="preserve">11.12 Screenshots</w:t>
      </w:r>
    </w:p>
    <w:p>
      <w:pPr>
        <w:spacing w:after="80" w:before="160"/>
        <w:jc w:val="center"/>
      </w:pPr>
      <w:r>
        <w:rPr>
          <w:rFonts w:ascii="Calibri" w:cs="Calibri" w:eastAsia="Calibri" w:hAnsi="Calibri"/>
          <w:b/>
          <w:bCs/>
          <w:color w:val="1F3864"/>
          <w:sz w:val="22"/>
          <w:szCs w:val="22"/>
        </w:rPr>
        <w:t xml:space="preserve">Figure 11.1: Workflow 01 Canvas</w:t>
      </w:r>
    </w:p>
    <w:p>
      <w:pPr>
        <w:pBdr>
          <w:top w:val="single" w:color="999999" w:sz="4"/>
          <w:bottom w:val="single" w:color="999999" w:sz="4"/>
          <w:left w:val="single" w:color="999999" w:sz="4"/>
          <w:right w:val="single" w:color="999999" w:sz="4"/>
        </w:pBdr>
        <w:shd w:fill="F2F2F2" w:val="clear"/>
        <w:spacing w:after="120"/>
        <w:jc w:val="center"/>
      </w:pPr>
      <w:r>
        <w:rPr>
          <w:rFonts w:ascii="Calibri" w:cs="Calibri" w:eastAsia="Calibri" w:hAnsi="Calibri"/>
          <w:i/>
          <w:iCs/>
          <w:color w:val="595959"/>
          <w:sz w:val="22"/>
          <w:szCs w:val="22"/>
        </w:rPr>
        <w:t xml:space="preserve">[Insert Workflow 01 Canvas]</w:t>
      </w:r>
    </w:p>
    <w:p>
      <w:pPr>
        <w:spacing w:after="200" w:line="276"/>
        <w:jc w:val="both"/>
      </w:pPr>
      <w:r>
        <w:rPr>
          <w:rFonts w:ascii="Calibri" w:cs="Calibri" w:eastAsia="Calibri" w:hAnsi="Calibri"/>
          <w:i/>
          <w:iCs/>
          <w:color w:val="404040"/>
          <w:sz w:val="22"/>
          <w:szCs w:val="22"/>
        </w:rPr>
        <w:t xml:space="preserve">This figure shows the complete n8n node graph for Workflow 01, illustrating the sequence of nodes and connections described in Sections 11.4 and 11.5.</w:t>
      </w:r>
    </w:p>
    <w:p>
      <w:pPr>
        <w:spacing w:after="80" w:before="160"/>
        <w:jc w:val="center"/>
      </w:pPr>
      <w:r>
        <w:rPr>
          <w:rFonts w:ascii="Calibri" w:cs="Calibri" w:eastAsia="Calibri" w:hAnsi="Calibri"/>
          <w:b/>
          <w:bCs/>
          <w:color w:val="1F3864"/>
          <w:sz w:val="22"/>
          <w:szCs w:val="22"/>
        </w:rPr>
        <w:t xml:space="preserve">Figure 11.2: Workflow 01 Form Interface</w:t>
      </w:r>
    </w:p>
    <w:p>
      <w:pPr>
        <w:pBdr>
          <w:top w:val="single" w:color="999999" w:sz="4"/>
          <w:bottom w:val="single" w:color="999999" w:sz="4"/>
          <w:left w:val="single" w:color="999999" w:sz="4"/>
          <w:right w:val="single" w:color="999999" w:sz="4"/>
        </w:pBdr>
        <w:shd w:fill="F2F2F2" w:val="clear"/>
        <w:spacing w:after="120"/>
        <w:jc w:val="center"/>
      </w:pPr>
      <w:r>
        <w:rPr>
          <w:rFonts w:ascii="Calibri" w:cs="Calibri" w:eastAsia="Calibri" w:hAnsi="Calibri"/>
          <w:i/>
          <w:iCs/>
          <w:color w:val="595959"/>
          <w:sz w:val="22"/>
          <w:szCs w:val="22"/>
        </w:rPr>
        <w:t xml:space="preserve">[Insert Workflow 01 Form Interface]</w:t>
      </w:r>
    </w:p>
    <w:p>
      <w:pPr>
        <w:spacing w:after="200" w:line="276"/>
        <w:jc w:val="both"/>
      </w:pPr>
      <w:r>
        <w:rPr>
          <w:rFonts w:ascii="Calibri" w:cs="Calibri" w:eastAsia="Calibri" w:hAnsi="Calibri"/>
          <w:i/>
          <w:iCs/>
          <w:color w:val="404040"/>
          <w:sz w:val="22"/>
          <w:szCs w:val="22"/>
        </w:rPr>
        <w:t xml:space="preserve">This figure shows the research request form rendered to the end user, containing the Research Topic, Research Keywords, Research Goal, Number of Papers and Email Address fields described in Section 11.3.</w:t>
      </w:r>
    </w:p>
    <w:p>
      <w:pPr>
        <w:spacing w:after="80" w:before="160"/>
        <w:jc w:val="center"/>
      </w:pPr>
      <w:r>
        <w:rPr>
          <w:rFonts w:ascii="Calibri" w:cs="Calibri" w:eastAsia="Calibri" w:hAnsi="Calibri"/>
          <w:b/>
          <w:bCs/>
          <w:color w:val="1F3864"/>
          <w:sz w:val="22"/>
          <w:szCs w:val="22"/>
        </w:rPr>
        <w:t xml:space="preserve">Figure 11.3: Workflow 01 Execution</w:t>
      </w:r>
    </w:p>
    <w:p>
      <w:pPr>
        <w:pBdr>
          <w:top w:val="single" w:color="999999" w:sz="4"/>
          <w:bottom w:val="single" w:color="999999" w:sz="4"/>
          <w:left w:val="single" w:color="999999" w:sz="4"/>
          <w:right w:val="single" w:color="999999" w:sz="4"/>
        </w:pBdr>
        <w:shd w:fill="F2F2F2" w:val="clear"/>
        <w:spacing w:after="120"/>
        <w:jc w:val="center"/>
      </w:pPr>
      <w:r>
        <w:rPr>
          <w:rFonts w:ascii="Calibri" w:cs="Calibri" w:eastAsia="Calibri" w:hAnsi="Calibri"/>
          <w:i/>
          <w:iCs/>
          <w:color w:val="595959"/>
          <w:sz w:val="22"/>
          <w:szCs w:val="22"/>
        </w:rPr>
        <w:t xml:space="preserve">[Insert Workflow 01 Execution]</w:t>
      </w:r>
    </w:p>
    <w:p>
      <w:pPr>
        <w:spacing w:after="200" w:line="276"/>
        <w:jc w:val="both"/>
      </w:pPr>
      <w:r>
        <w:rPr>
          <w:rFonts w:ascii="Calibri" w:cs="Calibri" w:eastAsia="Calibri" w:hAnsi="Calibri"/>
          <w:i/>
          <w:iCs/>
          <w:color w:val="404040"/>
          <w:sz w:val="22"/>
          <w:szCs w:val="22"/>
        </w:rPr>
        <w:t xml:space="preserve">This figure shows a sample execution log for Workflow 01, confirming that each node processed the expected data as described in Section 11.8.</w:t>
      </w:r>
    </w:p>
    <w:p>
      <w:r>
        <w:br w:type="page"/>
      </w:r>
    </w:p>
    <w:p>
      <w:pPr>
        <w:pStyle w:val="Heading1"/>
        <w:spacing w:after="200" w:before="360"/>
      </w:pPr>
      <w:r>
        <w:rPr>
          <w:rFonts w:ascii="Calibri" w:cs="Calibri" w:eastAsia="Calibri" w:hAnsi="Calibri"/>
          <w:b/>
          <w:bCs/>
          <w:color w:val="1F3864"/>
          <w:sz w:val="32"/>
          <w:szCs w:val="32"/>
        </w:rPr>
        <w:t xml:space="preserve">Workflow 02: AI Related Paper Recommendation Engine</w:t>
      </w:r>
    </w:p>
    <w:p>
      <w:pPr>
        <w:pStyle w:val="Heading2"/>
        <w:spacing w:after="160" w:before="280"/>
      </w:pPr>
      <w:r>
        <w:rPr>
          <w:rFonts w:ascii="Calibri" w:cs="Calibri" w:eastAsia="Calibri" w:hAnsi="Calibri"/>
          <w:b/>
          <w:bCs/>
          <w:color w:val="2E5395"/>
          <w:sz w:val="26"/>
          <w:szCs w:val="26"/>
        </w:rPr>
        <w:t xml:space="preserve">12.1 Workflow Name</w:t>
      </w:r>
    </w:p>
    <w:p>
      <w:pPr>
        <w:spacing w:after="160" w:line="276"/>
        <w:jc w:val="both"/>
      </w:pPr>
      <w:r>
        <w:rPr>
          <w:rFonts w:ascii="Calibri" w:cs="Calibri" w:eastAsia="Calibri" w:hAnsi="Calibri"/>
          <w:b w:val="false"/>
          <w:bCs w:val="false"/>
          <w:i w:val="false"/>
          <w:iCs w:val="false"/>
          <w:sz w:val="22"/>
          <w:szCs w:val="22"/>
        </w:rPr>
        <w:t xml:space="preserve">AI Related Paper Recommendation Engine. As discussed in Section 9, this workflow is invoked by Workflow 01 and executes independently of the arXiv discovery path.</w:t>
      </w:r>
    </w:p>
    <w:p>
      <w:pPr>
        <w:pStyle w:val="Heading2"/>
        <w:spacing w:after="160" w:before="280"/>
      </w:pPr>
      <w:r>
        <w:rPr>
          <w:rFonts w:ascii="Calibri" w:cs="Calibri" w:eastAsia="Calibri" w:hAnsi="Calibri"/>
          <w:b/>
          <w:bCs/>
          <w:color w:val="2E5395"/>
          <w:sz w:val="26"/>
          <w:szCs w:val="26"/>
        </w:rPr>
        <w:t xml:space="preserve">12.2 Purpose</w:t>
      </w:r>
    </w:p>
    <w:p>
      <w:pPr>
        <w:spacing w:after="160" w:line="276"/>
        <w:jc w:val="both"/>
      </w:pPr>
      <w:r>
        <w:rPr>
          <w:rFonts w:ascii="Calibri" w:cs="Calibri" w:eastAsia="Calibri" w:hAnsi="Calibri"/>
          <w:b w:val="false"/>
          <w:bCs w:val="false"/>
          <w:i w:val="false"/>
          <w:iCs w:val="false"/>
          <w:sz w:val="22"/>
          <w:szCs w:val="22"/>
        </w:rPr>
        <w:t xml:space="preserve">This workflow independently searches the OpenAlex scholarly database for papers related to a given research topic and uses GPT-5 Mini to score each returned paper for its relevance, producing a recommendation level and a rationale for that recommendation.</w:t>
      </w:r>
    </w:p>
    <w:p>
      <w:pPr>
        <w:pStyle w:val="Heading2"/>
        <w:spacing w:after="160" w:before="280"/>
      </w:pPr>
      <w:r>
        <w:rPr>
          <w:rFonts w:ascii="Calibri" w:cs="Calibri" w:eastAsia="Calibri" w:hAnsi="Calibri"/>
          <w:b/>
          <w:bCs/>
          <w:color w:val="2E5395"/>
          <w:sz w:val="26"/>
          <w:szCs w:val="26"/>
        </w:rPr>
        <w:t xml:space="preserve">12.3 Trigger</w:t>
      </w:r>
    </w:p>
    <w:p>
      <w:pPr>
        <w:spacing w:after="160" w:line="276"/>
        <w:jc w:val="both"/>
      </w:pPr>
      <w:r>
        <w:rPr>
          <w:rFonts w:ascii="Calibri" w:cs="Calibri" w:eastAsia="Calibri" w:hAnsi="Calibri"/>
          <w:b w:val="false"/>
          <w:bCs w:val="false"/>
          <w:i w:val="false"/>
          <w:iCs w:val="false"/>
          <w:sz w:val="22"/>
          <w:szCs w:val="22"/>
        </w:rPr>
        <w:t xml:space="preserve">This workflow does not have a user-facing trigger. It is started by an Execute Workflow Trigger node named "When Executed by Another Workflow", which defines a single expected input value named Research Topic. It is called exclusively from Workflow 1's "Call '02 - AI Related Paper Recommendation Engine'" node.</w:t>
      </w:r>
    </w:p>
    <w:p>
      <w:pPr>
        <w:pStyle w:val="Heading2"/>
        <w:spacing w:after="160" w:before="280"/>
      </w:pPr>
      <w:r>
        <w:rPr>
          <w:rFonts w:ascii="Calibri" w:cs="Calibri" w:eastAsia="Calibri" w:hAnsi="Calibri"/>
          <w:b/>
          <w:bCs/>
          <w:color w:val="2E5395"/>
          <w:sz w:val="26"/>
          <w:szCs w:val="26"/>
        </w:rPr>
        <w:t xml:space="preserve">12.4 Nodes Used</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500"/>
        <w:gridCol w:w="5500"/>
        <w:gridCol w:w="3000"/>
      </w:tblGrid>
      <w:tr>
        <w:trPr>
          <w:tblHeader/>
        </w:trPr>
        <w:tc>
          <w:tcPr>
            <w:tcW w:type="dxa" w:w="500"/>
            <w:shd w:fill="1F3864" w:val="clear"/>
            <w:tcMar>
              <w:top w:type="dxa" w:w="80"/>
              <w:left w:type="dxa" w:w="100"/>
              <w:bottom w:type="dxa" w:w="80"/>
              <w:right w:type="dxa" w:w="100"/>
            </w:tcMar>
            <w:vAlign w:val="center"/>
          </w:tcPr>
          <w:p>
            <w:r>
              <w:rPr>
                <w:rFonts w:ascii="Calibri" w:cs="Calibri" w:eastAsia="Calibri" w:hAnsi="Calibri"/>
                <w:b/>
                <w:bCs/>
                <w:color w:val="FFFFFF"/>
                <w:sz w:val="20"/>
                <w:szCs w:val="20"/>
              </w:rPr>
              <w:t xml:space="preserve">#</w:t>
            </w:r>
          </w:p>
        </w:tc>
        <w:tc>
          <w:tcPr>
            <w:tcW w:type="dxa" w:w="5500"/>
            <w:shd w:fill="1F3864" w:val="clear"/>
            <w:tcMar>
              <w:top w:type="dxa" w:w="80"/>
              <w:left w:type="dxa" w:w="100"/>
              <w:bottom w:type="dxa" w:w="80"/>
              <w:right w:type="dxa" w:w="100"/>
            </w:tcMar>
            <w:vAlign w:val="center"/>
          </w:tcPr>
          <w:p>
            <w:r>
              <w:rPr>
                <w:rFonts w:ascii="Calibri" w:cs="Calibri" w:eastAsia="Calibri" w:hAnsi="Calibri"/>
                <w:b/>
                <w:bCs/>
                <w:color w:val="FFFFFF"/>
                <w:sz w:val="20"/>
                <w:szCs w:val="20"/>
              </w:rPr>
              <w:t xml:space="preserve">Node Name</w:t>
            </w:r>
          </w:p>
        </w:tc>
        <w:tc>
          <w:tcPr>
            <w:tcW w:type="dxa" w:w="3000"/>
            <w:shd w:fill="1F3864" w:val="clear"/>
            <w:tcMar>
              <w:top w:type="dxa" w:w="80"/>
              <w:left w:type="dxa" w:w="100"/>
              <w:bottom w:type="dxa" w:w="80"/>
              <w:right w:type="dxa" w:w="100"/>
            </w:tcMar>
            <w:vAlign w:val="center"/>
          </w:tcPr>
          <w:p>
            <w:r>
              <w:rPr>
                <w:rFonts w:ascii="Calibri" w:cs="Calibri" w:eastAsia="Calibri" w:hAnsi="Calibri"/>
                <w:b/>
                <w:bCs/>
                <w:color w:val="FFFFFF"/>
                <w:sz w:val="20"/>
                <w:szCs w:val="20"/>
              </w:rPr>
              <w:t xml:space="preserve">Node Type</w:t>
            </w:r>
          </w:p>
        </w:tc>
      </w:tr>
      <w:tr>
        <w:tc>
          <w:tcPr>
            <w:tcW w:type="dxa" w:w="50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1</w:t>
            </w:r>
          </w:p>
        </w:tc>
        <w:tc>
          <w:tcPr>
            <w:tcW w:type="dxa" w:w="550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When Executed by Another Workflow</w:t>
            </w:r>
          </w:p>
        </w:tc>
        <w:tc>
          <w:tcPr>
            <w:tcW w:type="dxa" w:w="300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Execute Workflow Trigger</w:t>
            </w:r>
          </w:p>
        </w:tc>
      </w:tr>
      <w:tr>
        <w:tc>
          <w:tcPr>
            <w:tcW w:type="dxa" w:w="500"/>
            <w:shd w:fill="F2F2F2" w:val="clear"/>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2</w:t>
            </w:r>
          </w:p>
        </w:tc>
        <w:tc>
          <w:tcPr>
            <w:tcW w:type="dxa" w:w="5500"/>
            <w:shd w:fill="F2F2F2" w:val="clear"/>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HTTP Request</w:t>
            </w:r>
          </w:p>
        </w:tc>
        <w:tc>
          <w:tcPr>
            <w:tcW w:type="dxa" w:w="3000"/>
            <w:shd w:fill="F2F2F2" w:val="clear"/>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HTTP Request (OpenAlex API)</w:t>
            </w:r>
          </w:p>
        </w:tc>
      </w:tr>
      <w:tr>
        <w:tc>
          <w:tcPr>
            <w:tcW w:type="dxa" w:w="50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3</w:t>
            </w:r>
          </w:p>
        </w:tc>
        <w:tc>
          <w:tcPr>
            <w:tcW w:type="dxa" w:w="550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Split Out</w:t>
            </w:r>
          </w:p>
        </w:tc>
        <w:tc>
          <w:tcPr>
            <w:tcW w:type="dxa" w:w="300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Split Out (results)</w:t>
            </w:r>
          </w:p>
        </w:tc>
      </w:tr>
      <w:tr>
        <w:tc>
          <w:tcPr>
            <w:tcW w:type="dxa" w:w="500"/>
            <w:shd w:fill="F2F2F2" w:val="clear"/>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4</w:t>
            </w:r>
          </w:p>
        </w:tc>
        <w:tc>
          <w:tcPr>
            <w:tcW w:type="dxa" w:w="5500"/>
            <w:shd w:fill="F2F2F2" w:val="clear"/>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Edit Fields</w:t>
            </w:r>
          </w:p>
        </w:tc>
        <w:tc>
          <w:tcPr>
            <w:tcW w:type="dxa" w:w="3000"/>
            <w:shd w:fill="F2F2F2" w:val="clear"/>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Set — paper metadata mapping</w:t>
            </w:r>
          </w:p>
        </w:tc>
      </w:tr>
      <w:tr>
        <w:tc>
          <w:tcPr>
            <w:tcW w:type="dxa" w:w="50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5</w:t>
            </w:r>
          </w:p>
        </w:tc>
        <w:tc>
          <w:tcPr>
            <w:tcW w:type="dxa" w:w="550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Basic LLM Chain</w:t>
            </w:r>
          </w:p>
        </w:tc>
        <w:tc>
          <w:tcPr>
            <w:tcW w:type="dxa" w:w="300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LangChain LLM Chain — relevance scoring</w:t>
            </w:r>
          </w:p>
        </w:tc>
      </w:tr>
      <w:tr>
        <w:tc>
          <w:tcPr>
            <w:tcW w:type="dxa" w:w="500"/>
            <w:shd w:fill="F2F2F2" w:val="clear"/>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6</w:t>
            </w:r>
          </w:p>
        </w:tc>
        <w:tc>
          <w:tcPr>
            <w:tcW w:type="dxa" w:w="5500"/>
            <w:shd w:fill="F2F2F2" w:val="clear"/>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OpenAI Chat Model</w:t>
            </w:r>
          </w:p>
        </w:tc>
        <w:tc>
          <w:tcPr>
            <w:tcW w:type="dxa" w:w="3000"/>
            <w:shd w:fill="F2F2F2" w:val="clear"/>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LangChain OpenAI Chat Model (gpt-5-mini)</w:t>
            </w:r>
          </w:p>
        </w:tc>
      </w:tr>
      <w:tr>
        <w:tc>
          <w:tcPr>
            <w:tcW w:type="dxa" w:w="50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7</w:t>
            </w:r>
          </w:p>
        </w:tc>
        <w:tc>
          <w:tcPr>
            <w:tcW w:type="dxa" w:w="550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Edit Fields1</w:t>
            </w:r>
          </w:p>
        </w:tc>
        <w:tc>
          <w:tcPr>
            <w:tcW w:type="dxa" w:w="300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Set — attaches AI Analysis field</w:t>
            </w:r>
          </w:p>
        </w:tc>
      </w:tr>
    </w:tbl>
    <w:p>
      <w:pPr>
        <w:pStyle w:val="Heading2"/>
        <w:spacing w:after="160" w:before="280"/>
      </w:pPr>
      <w:r>
        <w:rPr>
          <w:rFonts w:ascii="Calibri" w:cs="Calibri" w:eastAsia="Calibri" w:hAnsi="Calibri"/>
          <w:b/>
          <w:bCs/>
          <w:color w:val="2E5395"/>
          <w:sz w:val="26"/>
          <w:szCs w:val="26"/>
        </w:rPr>
        <w:t xml:space="preserve">12.5 Detailed Node-by-Node Explanation</w:t>
      </w:r>
    </w:p>
    <w:p>
      <w:pPr>
        <w:pStyle w:val="Heading3"/>
        <w:spacing w:after="120" w:before="220"/>
      </w:pPr>
      <w:r>
        <w:rPr>
          <w:rFonts w:ascii="Calibri" w:cs="Calibri" w:eastAsia="Calibri" w:hAnsi="Calibri"/>
          <w:b/>
          <w:bCs/>
          <w:color w:val="44546A"/>
          <w:sz w:val="23"/>
          <w:szCs w:val="23"/>
        </w:rPr>
        <w:t xml:space="preserve">12.5.1 When Executed by Another Workflow</w:t>
      </w:r>
    </w:p>
    <w:p>
      <w:pPr>
        <w:spacing w:after="160" w:line="276"/>
        <w:jc w:val="both"/>
      </w:pPr>
      <w:r>
        <w:rPr>
          <w:rFonts w:ascii="Calibri" w:cs="Calibri" w:eastAsia="Calibri" w:hAnsi="Calibri"/>
          <w:b w:val="false"/>
          <w:bCs w:val="false"/>
          <w:i w:val="false"/>
          <w:iCs w:val="false"/>
          <w:sz w:val="22"/>
          <w:szCs w:val="22"/>
        </w:rPr>
        <w:t xml:space="preserve">This trigger node defines the workflow's single input parameter, Research Topic, and makes it available to downstream nodes as $json["Research Topic"].</w:t>
      </w:r>
    </w:p>
    <w:p>
      <w:pPr>
        <w:pStyle w:val="Heading3"/>
        <w:spacing w:after="120" w:before="220"/>
      </w:pPr>
      <w:r>
        <w:rPr>
          <w:rFonts w:ascii="Calibri" w:cs="Calibri" w:eastAsia="Calibri" w:hAnsi="Calibri"/>
          <w:b/>
          <w:bCs/>
          <w:color w:val="44546A"/>
          <w:sz w:val="23"/>
          <w:szCs w:val="23"/>
        </w:rPr>
        <w:t xml:space="preserve">12.5.2 HTTP Request (OpenAlex query)</w:t>
      </w:r>
    </w:p>
    <w:p>
      <w:pPr>
        <w:spacing w:after="160" w:line="276"/>
        <w:jc w:val="both"/>
      </w:pPr>
      <w:r>
        <w:rPr>
          <w:rFonts w:ascii="Calibri" w:cs="Calibri" w:eastAsia="Calibri" w:hAnsi="Calibri"/>
          <w:b w:val="false"/>
          <w:bCs w:val="false"/>
          <w:i w:val="false"/>
          <w:iCs w:val="false"/>
          <w:sz w:val="22"/>
          <w:szCs w:val="22"/>
        </w:rPr>
        <w:t xml:space="preserve">This node sends a GET request to https://api.openalex.org/works, with the query parameters search set to the incoming Research Topic value and per-page set to 10, meaning up to ten candidate papers are retrieved from OpenAlex for every invocation.</w:t>
      </w:r>
    </w:p>
    <w:p>
      <w:pPr>
        <w:pStyle w:val="Heading3"/>
        <w:spacing w:after="120" w:before="220"/>
      </w:pPr>
      <w:r>
        <w:rPr>
          <w:rFonts w:ascii="Calibri" w:cs="Calibri" w:eastAsia="Calibri" w:hAnsi="Calibri"/>
          <w:b/>
          <w:bCs/>
          <w:color w:val="44546A"/>
          <w:sz w:val="23"/>
          <w:szCs w:val="23"/>
        </w:rPr>
        <w:t xml:space="preserve">12.5.3 Split Out</w:t>
      </w:r>
    </w:p>
    <w:p>
      <w:pPr>
        <w:spacing w:after="160" w:line="276"/>
        <w:jc w:val="both"/>
      </w:pPr>
      <w:r>
        <w:rPr>
          <w:rFonts w:ascii="Calibri" w:cs="Calibri" w:eastAsia="Calibri" w:hAnsi="Calibri"/>
          <w:b w:val="false"/>
          <w:bCs w:val="false"/>
          <w:i w:val="false"/>
          <w:iCs w:val="false"/>
          <w:sz w:val="22"/>
          <w:szCs w:val="22"/>
        </w:rPr>
        <w:t xml:space="preserve">This node splits the results array returned by the OpenAlex API into one individual n8n item per paper, so that each candidate paper can be scored independently in the following nodes.</w:t>
      </w:r>
    </w:p>
    <w:p>
      <w:pPr>
        <w:pStyle w:val="Heading3"/>
        <w:spacing w:after="120" w:before="220"/>
      </w:pPr>
      <w:r>
        <w:rPr>
          <w:rFonts w:ascii="Calibri" w:cs="Calibri" w:eastAsia="Calibri" w:hAnsi="Calibri"/>
          <w:b/>
          <w:bCs/>
          <w:color w:val="44546A"/>
          <w:sz w:val="23"/>
          <w:szCs w:val="23"/>
        </w:rPr>
        <w:t xml:space="preserve">12.5.4 Edit Fields (metadata mapping)</w:t>
      </w:r>
    </w:p>
    <w:p>
      <w:pPr>
        <w:spacing w:after="160" w:line="276"/>
        <w:jc w:val="both"/>
      </w:pPr>
      <w:r>
        <w:rPr>
          <w:rFonts w:ascii="Calibri" w:cs="Calibri" w:eastAsia="Calibri" w:hAnsi="Calibri"/>
          <w:b w:val="false"/>
          <w:bCs w:val="false"/>
          <w:i w:val="false"/>
          <w:iCs w:val="false"/>
          <w:sz w:val="22"/>
          <w:szCs w:val="22"/>
        </w:rPr>
        <w:t xml:space="preserve">This Set node maps the OpenAlex response fields into a flat structure: Title ($json.title), Authors (built by mapping over the authorships array and extracting each author's display_name, filtering out any missing values and joining them with a comma), Published Date ($json.publication_date), Paper URL (the primary_location landing page URL, falling back to the DOI and then to the OpenAlex work ID if not present), DOI ($json.doi), and Research Topic, which is re-read from the original trigger node so that it remains available to the LLM prompt for every individual paper item.</w:t>
      </w:r>
    </w:p>
    <w:p>
      <w:pPr>
        <w:pStyle w:val="Heading3"/>
        <w:spacing w:after="120" w:before="220"/>
      </w:pPr>
      <w:r>
        <w:rPr>
          <w:rFonts w:ascii="Calibri" w:cs="Calibri" w:eastAsia="Calibri" w:hAnsi="Calibri"/>
          <w:b/>
          <w:bCs/>
          <w:color w:val="44546A"/>
          <w:sz w:val="23"/>
          <w:szCs w:val="23"/>
        </w:rPr>
        <w:t xml:space="preserve">12.5.5 Basic LLM Chain (relevance scoring)</w:t>
      </w:r>
    </w:p>
    <w:p>
      <w:pPr>
        <w:spacing w:after="160" w:line="276"/>
        <w:jc w:val="both"/>
      </w:pPr>
      <w:r>
        <w:rPr>
          <w:rFonts w:ascii="Calibri" w:cs="Calibri" w:eastAsia="Calibri" w:hAnsi="Calibri"/>
          <w:b w:val="false"/>
          <w:bCs w:val="false"/>
          <w:i w:val="false"/>
          <w:iCs w:val="false"/>
          <w:sz w:val="22"/>
          <w:szCs w:val="22"/>
        </w:rPr>
        <w:t xml:space="preserve">This node sends each paper, together with the original research topic, to GPT-5 Mini with a prompt that instructs the model to act as an "AI Research Paper Recommendation Assistant" and evaluate the paper's relevance. The requested output includes a Relevance Score from 0 to 100, a Recommendation Level of Highly Recommended, Recommended, or Low Relevance, a Recommendation Reason explaining the relevance, and a description of the paper's Potential Use to the researcher. As with Workflow 1's prompts, the model is instructed not to invent details that cannot reasonably be inferred from the supplied paper information.</w:t>
      </w:r>
    </w:p>
    <w:p>
      <w:pPr>
        <w:pStyle w:val="Heading3"/>
        <w:spacing w:after="120" w:before="220"/>
      </w:pPr>
      <w:r>
        <w:rPr>
          <w:rFonts w:ascii="Calibri" w:cs="Calibri" w:eastAsia="Calibri" w:hAnsi="Calibri"/>
          <w:b/>
          <w:bCs/>
          <w:color w:val="44546A"/>
          <w:sz w:val="23"/>
          <w:szCs w:val="23"/>
        </w:rPr>
        <w:t xml:space="preserve">12.5.6 OpenAI Chat Model</w:t>
      </w:r>
    </w:p>
    <w:p>
      <w:pPr>
        <w:spacing w:after="160" w:line="276"/>
        <w:jc w:val="both"/>
      </w:pPr>
      <w:r>
        <w:rPr>
          <w:rFonts w:ascii="Calibri" w:cs="Calibri" w:eastAsia="Calibri" w:hAnsi="Calibri"/>
          <w:b w:val="false"/>
          <w:bCs w:val="false"/>
          <w:i w:val="false"/>
          <w:iCs w:val="false"/>
          <w:sz w:val="22"/>
          <w:szCs w:val="22"/>
        </w:rPr>
        <w:t xml:space="preserve">This node supplies the gpt-5-mini model to the Basic LLM Chain node in this workflow, functioning identically to its counterpart in Workflow 1.</w:t>
      </w:r>
    </w:p>
    <w:p>
      <w:pPr>
        <w:pStyle w:val="Heading3"/>
        <w:spacing w:after="120" w:before="220"/>
      </w:pPr>
      <w:r>
        <w:rPr>
          <w:rFonts w:ascii="Calibri" w:cs="Calibri" w:eastAsia="Calibri" w:hAnsi="Calibri"/>
          <w:b/>
          <w:bCs/>
          <w:color w:val="44546A"/>
          <w:sz w:val="23"/>
          <w:szCs w:val="23"/>
        </w:rPr>
        <w:t xml:space="preserve">12.5.7 Edit Fields1</w:t>
      </w:r>
    </w:p>
    <w:p>
      <w:pPr>
        <w:spacing w:after="160" w:line="276"/>
        <w:jc w:val="both"/>
      </w:pPr>
      <w:r>
        <w:rPr>
          <w:rFonts w:ascii="Calibri" w:cs="Calibri" w:eastAsia="Calibri" w:hAnsi="Calibri"/>
          <w:b w:val="false"/>
          <w:bCs w:val="false"/>
          <w:i w:val="false"/>
          <w:iCs w:val="false"/>
          <w:sz w:val="22"/>
          <w:szCs w:val="22"/>
        </w:rPr>
        <w:t xml:space="preserve">This final Set node stores the LLM's raw output text under a field named AI Analysis, which contains the relevance score, recommendation level, reason and potential use for that individual paper. This is the last node in the workflow; there is no further node connected after it.</w:t>
      </w:r>
    </w:p>
    <w:p>
      <w:pPr>
        <w:pStyle w:val="Heading2"/>
        <w:spacing w:after="160" w:before="280"/>
      </w:pPr>
      <w:r>
        <w:rPr>
          <w:rFonts w:ascii="Calibri" w:cs="Calibri" w:eastAsia="Calibri" w:hAnsi="Calibri"/>
          <w:b/>
          <w:bCs/>
          <w:color w:val="2E5395"/>
          <w:sz w:val="26"/>
          <w:szCs w:val="26"/>
        </w:rPr>
        <w:t xml:space="preserve">12.6 Inputs</w:t>
      </w:r>
    </w:p>
    <w:p>
      <w:pPr>
        <w:pStyle w:val="ListParagraph"/>
        <w:numPr>
          <w:ilvl w:val="0"/>
          <w:numId w:val="2"/>
        </w:numPr>
        <w:spacing w:after="100" w:line="276"/>
      </w:pPr>
      <w:r>
        <w:rPr>
          <w:rFonts w:ascii="Calibri" w:cs="Calibri" w:eastAsia="Calibri" w:hAnsi="Calibri"/>
          <w:sz w:val="22"/>
          <w:szCs w:val="22"/>
        </w:rPr>
        <w:t xml:space="preserve">Research Topic, passed in from the calling workflow (Workflow 1).</w:t>
      </w:r>
    </w:p>
    <w:p>
      <w:pPr>
        <w:pStyle w:val="Heading2"/>
        <w:spacing w:after="160" w:before="280"/>
      </w:pPr>
      <w:r>
        <w:rPr>
          <w:rFonts w:ascii="Calibri" w:cs="Calibri" w:eastAsia="Calibri" w:hAnsi="Calibri"/>
          <w:b/>
          <w:bCs/>
          <w:color w:val="2E5395"/>
          <w:sz w:val="26"/>
          <w:szCs w:val="26"/>
        </w:rPr>
        <w:t xml:space="preserve">12.7 Outputs</w:t>
      </w:r>
    </w:p>
    <w:p>
      <w:pPr>
        <w:pStyle w:val="ListParagraph"/>
        <w:numPr>
          <w:ilvl w:val="0"/>
          <w:numId w:val="2"/>
        </w:numPr>
        <w:spacing w:after="100" w:line="276"/>
      </w:pPr>
      <w:r>
        <w:rPr>
          <w:rFonts w:ascii="Calibri" w:cs="Calibri" w:eastAsia="Calibri" w:hAnsi="Calibri"/>
          <w:sz w:val="22"/>
          <w:szCs w:val="22"/>
        </w:rPr>
        <w:t xml:space="preserve">A set of n8n items, one per OpenAlex paper, each carrying its metadata together with an AI Analysis field containing the relevance score, recommendation level, reason and potential use.</w:t>
      </w:r>
    </w:p>
    <w:p>
      <w:pPr>
        <w:spacing w:after="160" w:line="276"/>
        <w:jc w:val="both"/>
      </w:pPr>
      <w:r>
        <w:rPr>
          <w:rFonts w:ascii="Calibri" w:cs="Calibri" w:eastAsia="Calibri" w:hAnsi="Calibri"/>
          <w:b w:val="false"/>
          <w:bCs w:val="false"/>
          <w:i w:val="false"/>
          <w:iCs w:val="false"/>
          <w:sz w:val="22"/>
          <w:szCs w:val="22"/>
        </w:rPr>
        <w:t xml:space="preserve">Workflow 2 is connected to and invoked by Workflow 1 through the Execute Workflow node described in Section 11.5.10, so the relevance-scoring logic described above runs on every form submission. However, the "Call '02...'" node inside Workflow 1 has no outgoing connection to any further node, so the AI Analysis field produced here is not currently forwarded to the Google Sheet or included in the emailed report. This distinction — invoked but not consumed downstream — is discussed further in Sections 16 and 20.</w:t>
      </w:r>
    </w:p>
    <w:p>
      <w:pPr>
        <w:pStyle w:val="Heading2"/>
        <w:spacing w:after="160" w:before="280"/>
      </w:pPr>
      <w:r>
        <w:rPr>
          <w:rFonts w:ascii="Calibri" w:cs="Calibri" w:eastAsia="Calibri" w:hAnsi="Calibri"/>
          <w:b/>
          <w:bCs/>
          <w:color w:val="2E5395"/>
          <w:sz w:val="26"/>
          <w:szCs w:val="26"/>
        </w:rPr>
        <w:t xml:space="preserve">12.8 Data Flow Summary</w:t>
      </w:r>
    </w:p>
    <w:p>
      <w:pPr>
        <w:spacing w:after="160" w:line="276"/>
        <w:jc w:val="both"/>
      </w:pPr>
      <w:r>
        <w:rPr>
          <w:rFonts w:ascii="Calibri" w:cs="Calibri" w:eastAsia="Calibri" w:hAnsi="Calibri"/>
          <w:b w:val="false"/>
          <w:bCs w:val="false"/>
          <w:i w:val="false"/>
          <w:iCs w:val="false"/>
          <w:sz w:val="22"/>
          <w:szCs w:val="22"/>
        </w:rPr>
        <w:t xml:space="preserve">Execute Workflow Trigger -&gt; HTTP Request (OpenAlex) -&gt; Split Out -&gt; Edit Fields -&gt; Basic LLM Chain -&gt; OpenAI Chat Model (as language model) -&gt; Edit Fields1.</w:t>
      </w:r>
    </w:p>
    <w:p>
      <w:pPr>
        <w:pStyle w:val="Heading2"/>
        <w:spacing w:after="160" w:before="280"/>
      </w:pPr>
      <w:r>
        <w:rPr>
          <w:rFonts w:ascii="Calibri" w:cs="Calibri" w:eastAsia="Calibri" w:hAnsi="Calibri"/>
          <w:b/>
          <w:bCs/>
          <w:color w:val="2E5395"/>
          <w:sz w:val="26"/>
          <w:szCs w:val="26"/>
        </w:rPr>
        <w:t xml:space="preserve">12.9 How Relevance Scores Are Generated</w:t>
      </w:r>
    </w:p>
    <w:p>
      <w:pPr>
        <w:spacing w:after="160" w:line="276"/>
        <w:jc w:val="both"/>
      </w:pPr>
      <w:r>
        <w:rPr>
          <w:rFonts w:ascii="Calibri" w:cs="Calibri" w:eastAsia="Calibri" w:hAnsi="Calibri"/>
          <w:b w:val="false"/>
          <w:bCs w:val="false"/>
          <w:i w:val="false"/>
          <w:iCs w:val="false"/>
          <w:sz w:val="22"/>
          <w:szCs w:val="22"/>
        </w:rPr>
        <w:t xml:space="preserve">Relevance scores are generated entirely by the language model rather than by a fixed numerical formula. The Basic LLM Chain node supplies GPT-5 Mini with the research topic and the candidate paper's title, authors and published date, and asks the model to reason about the topical fit between the paper and the topic, returning a numeric score between 0 and 100 together with a qualitative Recommendation Level. Because the score is model-generated rather than computed from a fixed metric such as citation count or keyword overlap, its consistency across repeated runs depends on the underlying language model's behaviour.</w:t>
      </w:r>
    </w:p>
    <w:p>
      <w:pPr>
        <w:pStyle w:val="Heading2"/>
        <w:spacing w:after="160" w:before="280"/>
      </w:pPr>
      <w:r>
        <w:rPr>
          <w:rFonts w:ascii="Calibri" w:cs="Calibri" w:eastAsia="Calibri" w:hAnsi="Calibri"/>
          <w:b/>
          <w:bCs/>
          <w:color w:val="2E5395"/>
          <w:sz w:val="26"/>
          <w:szCs w:val="26"/>
        </w:rPr>
        <w:t xml:space="preserve">12.10 Error Handling</w:t>
      </w:r>
    </w:p>
    <w:p>
      <w:pPr>
        <w:spacing w:after="160" w:line="276"/>
        <w:jc w:val="both"/>
      </w:pPr>
      <w:r>
        <w:rPr>
          <w:rFonts w:ascii="Calibri" w:cs="Calibri" w:eastAsia="Calibri" w:hAnsi="Calibri"/>
          <w:b w:val="false"/>
          <w:bCs w:val="false"/>
          <w:i w:val="false"/>
          <w:iCs w:val="false"/>
          <w:sz w:val="22"/>
          <w:szCs w:val="22"/>
        </w:rPr>
        <w:t xml:space="preserve">As with Workflow 1, no explicit error-handling nodes, retries, or fallback logic are configured. A failure of the OpenAlex HTTP Request node or the OpenAI Chat Model node would cause the workflow execution to stop and be logged as a failed execution.</w:t>
      </w:r>
    </w:p>
    <w:p>
      <w:pPr>
        <w:pStyle w:val="Heading2"/>
        <w:spacing w:after="160" w:before="280"/>
      </w:pPr>
      <w:r>
        <w:rPr>
          <w:rFonts w:ascii="Calibri" w:cs="Calibri" w:eastAsia="Calibri" w:hAnsi="Calibri"/>
          <w:b/>
          <w:bCs/>
          <w:color w:val="2E5395"/>
          <w:sz w:val="26"/>
          <w:szCs w:val="26"/>
        </w:rPr>
        <w:t xml:space="preserve">12.11 Advantages</w:t>
      </w:r>
    </w:p>
    <w:p>
      <w:pPr>
        <w:pStyle w:val="ListParagraph"/>
        <w:numPr>
          <w:ilvl w:val="0"/>
          <w:numId w:val="2"/>
        </w:numPr>
        <w:spacing w:after="100" w:line="276"/>
      </w:pPr>
      <w:r>
        <w:rPr>
          <w:rFonts w:ascii="Calibri" w:cs="Calibri" w:eastAsia="Calibri" w:hAnsi="Calibri"/>
          <w:sz w:val="22"/>
          <w:szCs w:val="22"/>
        </w:rPr>
        <w:t xml:space="preserve">Provides an independent, second literature source (OpenAlex) alongside arXiv, broadening topical coverage beyond preprints.</w:t>
      </w:r>
    </w:p>
    <w:p>
      <w:pPr>
        <w:pStyle w:val="ListParagraph"/>
        <w:numPr>
          <w:ilvl w:val="0"/>
          <w:numId w:val="2"/>
        </w:numPr>
        <w:spacing w:after="100" w:line="276"/>
      </w:pPr>
      <w:r>
        <w:rPr>
          <w:rFonts w:ascii="Calibri" w:cs="Calibri" w:eastAsia="Calibri" w:hAnsi="Calibri"/>
          <w:sz w:val="22"/>
          <w:szCs w:val="22"/>
        </w:rPr>
        <w:t xml:space="preserve">Decoupled as a separate, reusable sub-workflow that can be invoked from other workflows in future, not only Workflow 1.</w:t>
      </w:r>
    </w:p>
    <w:p>
      <w:pPr>
        <w:pStyle w:val="ListParagraph"/>
        <w:numPr>
          <w:ilvl w:val="0"/>
          <w:numId w:val="2"/>
        </w:numPr>
        <w:spacing w:after="100" w:line="276"/>
      </w:pPr>
      <w:r>
        <w:rPr>
          <w:rFonts w:ascii="Calibri" w:cs="Calibri" w:eastAsia="Calibri" w:hAnsi="Calibri"/>
          <w:sz w:val="22"/>
          <w:szCs w:val="22"/>
        </w:rPr>
        <w:t xml:space="preserve">Relevance scoring gives the user a quick, ranked indication of which papers are most worth reading first.</w:t>
      </w:r>
    </w:p>
    <w:p>
      <w:pPr>
        <w:pStyle w:val="Heading2"/>
        <w:spacing w:after="160" w:before="280"/>
      </w:pPr>
      <w:r>
        <w:rPr>
          <w:rFonts w:ascii="Calibri" w:cs="Calibri" w:eastAsia="Calibri" w:hAnsi="Calibri"/>
          <w:b/>
          <w:bCs/>
          <w:color w:val="2E5395"/>
          <w:sz w:val="26"/>
          <w:szCs w:val="26"/>
        </w:rPr>
        <w:t xml:space="preserve">12.12 Screenshots</w:t>
      </w:r>
    </w:p>
    <w:p>
      <w:pPr>
        <w:spacing w:after="80" w:before="160"/>
        <w:jc w:val="center"/>
      </w:pPr>
      <w:r>
        <w:rPr>
          <w:rFonts w:ascii="Calibri" w:cs="Calibri" w:eastAsia="Calibri" w:hAnsi="Calibri"/>
          <w:b/>
          <w:bCs/>
          <w:color w:val="1F3864"/>
          <w:sz w:val="22"/>
          <w:szCs w:val="22"/>
        </w:rPr>
        <w:t xml:space="preserve">Figure 12.1: Workflow 02 Canvas</w:t>
      </w:r>
    </w:p>
    <w:p>
      <w:pPr>
        <w:pBdr>
          <w:top w:val="single" w:color="999999" w:sz="4"/>
          <w:bottom w:val="single" w:color="999999" w:sz="4"/>
          <w:left w:val="single" w:color="999999" w:sz="4"/>
          <w:right w:val="single" w:color="999999" w:sz="4"/>
        </w:pBdr>
        <w:shd w:fill="F2F2F2" w:val="clear"/>
        <w:spacing w:after="120"/>
        <w:jc w:val="center"/>
      </w:pPr>
      <w:r>
        <w:rPr>
          <w:rFonts w:ascii="Calibri" w:cs="Calibri" w:eastAsia="Calibri" w:hAnsi="Calibri"/>
          <w:i/>
          <w:iCs/>
          <w:color w:val="595959"/>
          <w:sz w:val="22"/>
          <w:szCs w:val="22"/>
        </w:rPr>
        <w:t xml:space="preserve">[Insert Workflow 02 Canvas]</w:t>
      </w:r>
    </w:p>
    <w:p>
      <w:pPr>
        <w:spacing w:after="200" w:line="276"/>
        <w:jc w:val="both"/>
      </w:pPr>
      <w:r>
        <w:rPr>
          <w:rFonts w:ascii="Calibri" w:cs="Calibri" w:eastAsia="Calibri" w:hAnsi="Calibri"/>
          <w:i/>
          <w:iCs/>
          <w:color w:val="404040"/>
          <w:sz w:val="22"/>
          <w:szCs w:val="22"/>
        </w:rPr>
        <w:t xml:space="preserve">This figure shows the complete n8n node graph for Workflow 02, illustrating the OpenAlex query, metadata mapping and relevance-scoring nodes described in Sections 12.4 and 12.5.</w:t>
      </w:r>
    </w:p>
    <w:p>
      <w:pPr>
        <w:spacing w:after="80" w:before="160"/>
        <w:jc w:val="center"/>
      </w:pPr>
      <w:r>
        <w:rPr>
          <w:rFonts w:ascii="Calibri" w:cs="Calibri" w:eastAsia="Calibri" w:hAnsi="Calibri"/>
          <w:b/>
          <w:bCs/>
          <w:color w:val="1F3864"/>
          <w:sz w:val="22"/>
          <w:szCs w:val="22"/>
        </w:rPr>
        <w:t xml:space="preserve">Figure 12.2: Workflow 02 Execution</w:t>
      </w:r>
    </w:p>
    <w:p>
      <w:pPr>
        <w:pBdr>
          <w:top w:val="single" w:color="999999" w:sz="4"/>
          <w:bottom w:val="single" w:color="999999" w:sz="4"/>
          <w:left w:val="single" w:color="999999" w:sz="4"/>
          <w:right w:val="single" w:color="999999" w:sz="4"/>
        </w:pBdr>
        <w:shd w:fill="F2F2F2" w:val="clear"/>
        <w:spacing w:after="120"/>
        <w:jc w:val="center"/>
      </w:pPr>
      <w:r>
        <w:rPr>
          <w:rFonts w:ascii="Calibri" w:cs="Calibri" w:eastAsia="Calibri" w:hAnsi="Calibri"/>
          <w:i/>
          <w:iCs/>
          <w:color w:val="595959"/>
          <w:sz w:val="22"/>
          <w:szCs w:val="22"/>
        </w:rPr>
        <w:t xml:space="preserve">[Insert Workflow 02 Execution]</w:t>
      </w:r>
    </w:p>
    <w:p>
      <w:pPr>
        <w:spacing w:after="200" w:line="276"/>
        <w:jc w:val="both"/>
      </w:pPr>
      <w:r>
        <w:rPr>
          <w:rFonts w:ascii="Calibri" w:cs="Calibri" w:eastAsia="Calibri" w:hAnsi="Calibri"/>
          <w:i/>
          <w:iCs/>
          <w:color w:val="404040"/>
          <w:sz w:val="22"/>
          <w:szCs w:val="22"/>
        </w:rPr>
        <w:t xml:space="preserve">This figure shows a sample execution of Workflow 02, including the AI Analysis field generated for a scored paper as described in Section 12.9.</w:t>
      </w:r>
    </w:p>
    <w:p>
      <w:r>
        <w:br w:type="page"/>
      </w:r>
    </w:p>
    <w:p>
      <w:pPr>
        <w:pStyle w:val="Heading1"/>
        <w:spacing w:after="200" w:before="360"/>
      </w:pPr>
      <w:r>
        <w:rPr>
          <w:rFonts w:ascii="Calibri" w:cs="Calibri" w:eastAsia="Calibri" w:hAnsi="Calibri"/>
          <w:b/>
          <w:bCs/>
          <w:color w:val="1F3864"/>
          <w:sz w:val="32"/>
          <w:szCs w:val="32"/>
        </w:rPr>
        <w:t xml:space="preserve">Workflow 03: Research Insight Generator</w:t>
      </w:r>
    </w:p>
    <w:p>
      <w:pPr>
        <w:pStyle w:val="Heading2"/>
        <w:spacing w:after="160" w:before="280"/>
      </w:pPr>
      <w:r>
        <w:rPr>
          <w:rFonts w:ascii="Calibri" w:cs="Calibri" w:eastAsia="Calibri" w:hAnsi="Calibri"/>
          <w:b/>
          <w:bCs/>
          <w:color w:val="2E5395"/>
          <w:sz w:val="26"/>
          <w:szCs w:val="26"/>
        </w:rPr>
        <w:t xml:space="preserve">13.1 Workflow Name</w:t>
      </w:r>
    </w:p>
    <w:p>
      <w:pPr>
        <w:spacing w:after="160" w:line="276"/>
        <w:jc w:val="both"/>
      </w:pPr>
      <w:r>
        <w:rPr>
          <w:rFonts w:ascii="Calibri" w:cs="Calibri" w:eastAsia="Calibri" w:hAnsi="Calibri"/>
          <w:b w:val="false"/>
          <w:bCs w:val="false"/>
          <w:i w:val="false"/>
          <w:iCs w:val="false"/>
          <w:sz w:val="22"/>
          <w:szCs w:val="22"/>
        </w:rPr>
        <w:t xml:space="preserve">Research Insight Generator. As discussed in Section 9, this workflow is invoked by Workflow 01 once every arXiv paper has been analysed and aggregated.</w:t>
      </w:r>
    </w:p>
    <w:p>
      <w:pPr>
        <w:pStyle w:val="Heading2"/>
        <w:spacing w:after="160" w:before="280"/>
      </w:pPr>
      <w:r>
        <w:rPr>
          <w:rFonts w:ascii="Calibri" w:cs="Calibri" w:eastAsia="Calibri" w:hAnsi="Calibri"/>
          <w:b/>
          <w:bCs/>
          <w:color w:val="2E5395"/>
          <w:sz w:val="26"/>
          <w:szCs w:val="26"/>
        </w:rPr>
        <w:t xml:space="preserve">13.2 Purpose</w:t>
      </w:r>
    </w:p>
    <w:p>
      <w:pPr>
        <w:spacing w:after="160" w:line="276"/>
        <w:jc w:val="both"/>
      </w:pPr>
      <w:r>
        <w:rPr>
          <w:rFonts w:ascii="Calibri" w:cs="Calibri" w:eastAsia="Calibri" w:hAnsi="Calibri"/>
          <w:b w:val="false"/>
          <w:bCs w:val="false"/>
          <w:i w:val="false"/>
          <w:iCs w:val="false"/>
          <w:sz w:val="22"/>
          <w:szCs w:val="22"/>
        </w:rPr>
        <w:t xml:space="preserve">This workflow consolidates the individual AI analyses of every discovered paper into a single, cross-paper set of research insights, evaluated against the user's stated research goal.</w:t>
      </w:r>
    </w:p>
    <w:p>
      <w:pPr>
        <w:pStyle w:val="Heading2"/>
        <w:spacing w:after="160" w:before="280"/>
      </w:pPr>
      <w:r>
        <w:rPr>
          <w:rFonts w:ascii="Calibri" w:cs="Calibri" w:eastAsia="Calibri" w:hAnsi="Calibri"/>
          <w:b/>
          <w:bCs/>
          <w:color w:val="2E5395"/>
          <w:sz w:val="26"/>
          <w:szCs w:val="26"/>
        </w:rPr>
        <w:t xml:space="preserve">13.3 Trigger</w:t>
      </w:r>
    </w:p>
    <w:p>
      <w:pPr>
        <w:spacing w:after="160" w:line="276"/>
        <w:jc w:val="both"/>
      </w:pPr>
      <w:r>
        <w:rPr>
          <w:rFonts w:ascii="Calibri" w:cs="Calibri" w:eastAsia="Calibri" w:hAnsi="Calibri"/>
          <w:b w:val="false"/>
          <w:bCs w:val="false"/>
          <w:i w:val="false"/>
          <w:iCs w:val="false"/>
          <w:sz w:val="22"/>
          <w:szCs w:val="22"/>
        </w:rPr>
        <w:t xml:space="preserve">This workflow has no user-facing trigger. It is started by an Execute Workflow Trigger node named "When Executed by Another Workflow", which defines three expected input values: Research Topic, Research Goal, and Paper Data. It is called exclusively from Workflow 1's "Call '03 - Research Insight Generator'" node, after the Aggregate node has combined every analysed paper into a single payload.</w:t>
      </w:r>
    </w:p>
    <w:p>
      <w:pPr>
        <w:pStyle w:val="Heading2"/>
        <w:spacing w:after="160" w:before="280"/>
      </w:pPr>
      <w:r>
        <w:rPr>
          <w:rFonts w:ascii="Calibri" w:cs="Calibri" w:eastAsia="Calibri" w:hAnsi="Calibri"/>
          <w:b/>
          <w:bCs/>
          <w:color w:val="2E5395"/>
          <w:sz w:val="26"/>
          <w:szCs w:val="26"/>
        </w:rPr>
        <w:t xml:space="preserve">13.4 Nodes Used</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500"/>
        <w:gridCol w:w="5500"/>
        <w:gridCol w:w="3000"/>
      </w:tblGrid>
      <w:tr>
        <w:trPr>
          <w:tblHeader/>
        </w:trPr>
        <w:tc>
          <w:tcPr>
            <w:tcW w:type="dxa" w:w="500"/>
            <w:shd w:fill="1F3864" w:val="clear"/>
            <w:tcMar>
              <w:top w:type="dxa" w:w="80"/>
              <w:left w:type="dxa" w:w="100"/>
              <w:bottom w:type="dxa" w:w="80"/>
              <w:right w:type="dxa" w:w="100"/>
            </w:tcMar>
            <w:vAlign w:val="center"/>
          </w:tcPr>
          <w:p>
            <w:r>
              <w:rPr>
                <w:rFonts w:ascii="Calibri" w:cs="Calibri" w:eastAsia="Calibri" w:hAnsi="Calibri"/>
                <w:b/>
                <w:bCs/>
                <w:color w:val="FFFFFF"/>
                <w:sz w:val="20"/>
                <w:szCs w:val="20"/>
              </w:rPr>
              <w:t xml:space="preserve">#</w:t>
            </w:r>
          </w:p>
        </w:tc>
        <w:tc>
          <w:tcPr>
            <w:tcW w:type="dxa" w:w="5500"/>
            <w:shd w:fill="1F3864" w:val="clear"/>
            <w:tcMar>
              <w:top w:type="dxa" w:w="80"/>
              <w:left w:type="dxa" w:w="100"/>
              <w:bottom w:type="dxa" w:w="80"/>
              <w:right w:type="dxa" w:w="100"/>
            </w:tcMar>
            <w:vAlign w:val="center"/>
          </w:tcPr>
          <w:p>
            <w:r>
              <w:rPr>
                <w:rFonts w:ascii="Calibri" w:cs="Calibri" w:eastAsia="Calibri" w:hAnsi="Calibri"/>
                <w:b/>
                <w:bCs/>
                <w:color w:val="FFFFFF"/>
                <w:sz w:val="20"/>
                <w:szCs w:val="20"/>
              </w:rPr>
              <w:t xml:space="preserve">Node Name</w:t>
            </w:r>
          </w:p>
        </w:tc>
        <w:tc>
          <w:tcPr>
            <w:tcW w:type="dxa" w:w="3000"/>
            <w:shd w:fill="1F3864" w:val="clear"/>
            <w:tcMar>
              <w:top w:type="dxa" w:w="80"/>
              <w:left w:type="dxa" w:w="100"/>
              <w:bottom w:type="dxa" w:w="80"/>
              <w:right w:type="dxa" w:w="100"/>
            </w:tcMar>
            <w:vAlign w:val="center"/>
          </w:tcPr>
          <w:p>
            <w:r>
              <w:rPr>
                <w:rFonts w:ascii="Calibri" w:cs="Calibri" w:eastAsia="Calibri" w:hAnsi="Calibri"/>
                <w:b/>
                <w:bCs/>
                <w:color w:val="FFFFFF"/>
                <w:sz w:val="20"/>
                <w:szCs w:val="20"/>
              </w:rPr>
              <w:t xml:space="preserve">Node Type</w:t>
            </w:r>
          </w:p>
        </w:tc>
      </w:tr>
      <w:tr>
        <w:tc>
          <w:tcPr>
            <w:tcW w:type="dxa" w:w="50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1</w:t>
            </w:r>
          </w:p>
        </w:tc>
        <w:tc>
          <w:tcPr>
            <w:tcW w:type="dxa" w:w="550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When Executed by Another Workflow</w:t>
            </w:r>
          </w:p>
        </w:tc>
        <w:tc>
          <w:tcPr>
            <w:tcW w:type="dxa" w:w="300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Execute Workflow Trigger</w:t>
            </w:r>
          </w:p>
        </w:tc>
      </w:tr>
      <w:tr>
        <w:tc>
          <w:tcPr>
            <w:tcW w:type="dxa" w:w="500"/>
            <w:shd w:fill="F2F2F2" w:val="clear"/>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2</w:t>
            </w:r>
          </w:p>
        </w:tc>
        <w:tc>
          <w:tcPr>
            <w:tcW w:type="dxa" w:w="5500"/>
            <w:shd w:fill="F2F2F2" w:val="clear"/>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Basic LLM Chain</w:t>
            </w:r>
          </w:p>
        </w:tc>
        <w:tc>
          <w:tcPr>
            <w:tcW w:type="dxa" w:w="3000"/>
            <w:shd w:fill="F2F2F2" w:val="clear"/>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LangChain LLM Chain — insight synthesis</w:t>
            </w:r>
          </w:p>
        </w:tc>
      </w:tr>
      <w:tr>
        <w:tc>
          <w:tcPr>
            <w:tcW w:type="dxa" w:w="50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3</w:t>
            </w:r>
          </w:p>
        </w:tc>
        <w:tc>
          <w:tcPr>
            <w:tcW w:type="dxa" w:w="550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OpenAI Chat Model</w:t>
            </w:r>
          </w:p>
        </w:tc>
        <w:tc>
          <w:tcPr>
            <w:tcW w:type="dxa" w:w="300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LangChain OpenAI Chat Model (gpt-5-mini)</w:t>
            </w:r>
          </w:p>
        </w:tc>
      </w:tr>
      <w:tr>
        <w:tc>
          <w:tcPr>
            <w:tcW w:type="dxa" w:w="500"/>
            <w:shd w:fill="F2F2F2" w:val="clear"/>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4</w:t>
            </w:r>
          </w:p>
        </w:tc>
        <w:tc>
          <w:tcPr>
            <w:tcW w:type="dxa" w:w="5500"/>
            <w:shd w:fill="F2F2F2" w:val="clear"/>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Edit Fields</w:t>
            </w:r>
          </w:p>
        </w:tc>
        <w:tc>
          <w:tcPr>
            <w:tcW w:type="dxa" w:w="3000"/>
            <w:shd w:fill="F2F2F2" w:val="clear"/>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Set — attaches Research Insights field</w:t>
            </w:r>
          </w:p>
        </w:tc>
      </w:tr>
    </w:tbl>
    <w:p>
      <w:pPr>
        <w:pStyle w:val="Heading2"/>
        <w:spacing w:after="160" w:before="280"/>
      </w:pPr>
      <w:r>
        <w:rPr>
          <w:rFonts w:ascii="Calibri" w:cs="Calibri" w:eastAsia="Calibri" w:hAnsi="Calibri"/>
          <w:b/>
          <w:bCs/>
          <w:color w:val="2E5395"/>
          <w:sz w:val="26"/>
          <w:szCs w:val="26"/>
        </w:rPr>
        <w:t xml:space="preserve">13.5 Detailed Node-by-Node Explanation</w:t>
      </w:r>
    </w:p>
    <w:p>
      <w:pPr>
        <w:pStyle w:val="Heading3"/>
        <w:spacing w:after="120" w:before="220"/>
      </w:pPr>
      <w:r>
        <w:rPr>
          <w:rFonts w:ascii="Calibri" w:cs="Calibri" w:eastAsia="Calibri" w:hAnsi="Calibri"/>
          <w:b/>
          <w:bCs/>
          <w:color w:val="44546A"/>
          <w:sz w:val="23"/>
          <w:szCs w:val="23"/>
        </w:rPr>
        <w:t xml:space="preserve">13.5.1 When Executed by Another Workflow</w:t>
      </w:r>
    </w:p>
    <w:p>
      <w:pPr>
        <w:spacing w:after="160" w:line="276"/>
        <w:jc w:val="both"/>
      </w:pPr>
      <w:r>
        <w:rPr>
          <w:rFonts w:ascii="Calibri" w:cs="Calibri" w:eastAsia="Calibri" w:hAnsi="Calibri"/>
          <w:b w:val="false"/>
          <w:bCs w:val="false"/>
          <w:i w:val="false"/>
          <w:iCs w:val="false"/>
          <w:sz w:val="22"/>
          <w:szCs w:val="22"/>
        </w:rPr>
        <w:t xml:space="preserve">This trigger defines the three input values passed from Workflow 1: Research Topic and Research Goal (both plain strings taken from the original form), and Paper Data, which arrives as a JSON string representing the full array of analysed papers produced by Workflow 1's Edit Fields1 node.</w:t>
      </w:r>
    </w:p>
    <w:p>
      <w:pPr>
        <w:pStyle w:val="Heading3"/>
        <w:spacing w:after="120" w:before="220"/>
      </w:pPr>
      <w:r>
        <w:rPr>
          <w:rFonts w:ascii="Calibri" w:cs="Calibri" w:eastAsia="Calibri" w:hAnsi="Calibri"/>
          <w:b/>
          <w:bCs/>
          <w:color w:val="44546A"/>
          <w:sz w:val="23"/>
          <w:szCs w:val="23"/>
        </w:rPr>
        <w:t xml:space="preserve">13.5.2 Basic LLM Chain (insight synthesis)</w:t>
      </w:r>
    </w:p>
    <w:p>
      <w:pPr>
        <w:spacing w:after="160" w:line="276"/>
        <w:jc w:val="both"/>
      </w:pPr>
      <w:r>
        <w:rPr>
          <w:rFonts w:ascii="Calibri" w:cs="Calibri" w:eastAsia="Calibri" w:hAnsi="Calibri"/>
          <w:b w:val="false"/>
          <w:bCs w:val="false"/>
          <w:i w:val="false"/>
          <w:iCs w:val="false"/>
          <w:sz w:val="22"/>
          <w:szCs w:val="22"/>
        </w:rPr>
        <w:t xml:space="preserve">This is the sole processing node in the workflow. Its prompt instructs GPT-5 Mini to act as an "AI Research Insight Generator" and analyse the supplied Paper Data in relation to the Research Topic and Research Goal. The requested output is a structured analysis containing six sections: Key Themes (recurring themes and concepts across the papers), Research Trends (emerging approaches, technologies or methods), Research Gaps (underexplored or unresolved areas), Cross-Paper Insights (similarities, differences and connections between papers), Future Research Directions (three to five promising directions based on the identified gaps), and Research Recommendation (an explanation of how the papers collectively help achieve the stated Research Goal). The prompt instructs the model to base its analysis only on the supplied Paper Data and not to invent paper findings that are not present in it.</w:t>
      </w:r>
    </w:p>
    <w:p>
      <w:pPr>
        <w:pStyle w:val="Heading3"/>
        <w:spacing w:after="120" w:before="220"/>
      </w:pPr>
      <w:r>
        <w:rPr>
          <w:rFonts w:ascii="Calibri" w:cs="Calibri" w:eastAsia="Calibri" w:hAnsi="Calibri"/>
          <w:b/>
          <w:bCs/>
          <w:color w:val="44546A"/>
          <w:sz w:val="23"/>
          <w:szCs w:val="23"/>
        </w:rPr>
        <w:t xml:space="preserve">13.5.3 OpenAI Chat Model</w:t>
      </w:r>
    </w:p>
    <w:p>
      <w:pPr>
        <w:spacing w:after="160" w:line="276"/>
        <w:jc w:val="both"/>
      </w:pPr>
      <w:r>
        <w:rPr>
          <w:rFonts w:ascii="Calibri" w:cs="Calibri" w:eastAsia="Calibri" w:hAnsi="Calibri"/>
          <w:b w:val="false"/>
          <w:bCs w:val="false"/>
          <w:i w:val="false"/>
          <w:iCs w:val="false"/>
          <w:sz w:val="22"/>
          <w:szCs w:val="22"/>
        </w:rPr>
        <w:t xml:space="preserve">This node supplies the gpt-5-mini model used by the Basic LLM Chain node, configured identically to its counterparts in Workflows 1 and 2.</w:t>
      </w:r>
    </w:p>
    <w:p>
      <w:pPr>
        <w:pStyle w:val="Heading3"/>
        <w:spacing w:after="120" w:before="220"/>
      </w:pPr>
      <w:r>
        <w:rPr>
          <w:rFonts w:ascii="Calibri" w:cs="Calibri" w:eastAsia="Calibri" w:hAnsi="Calibri"/>
          <w:b/>
          <w:bCs/>
          <w:color w:val="44546A"/>
          <w:sz w:val="23"/>
          <w:szCs w:val="23"/>
        </w:rPr>
        <w:t xml:space="preserve">13.5.4 Edit Fields</w:t>
      </w:r>
    </w:p>
    <w:p>
      <w:pPr>
        <w:spacing w:after="160" w:line="276"/>
        <w:jc w:val="both"/>
      </w:pPr>
      <w:r>
        <w:rPr>
          <w:rFonts w:ascii="Calibri" w:cs="Calibri" w:eastAsia="Calibri" w:hAnsi="Calibri"/>
          <w:b w:val="false"/>
          <w:bCs w:val="false"/>
          <w:i w:val="false"/>
          <w:iCs w:val="false"/>
          <w:sz w:val="22"/>
          <w:szCs w:val="22"/>
        </w:rPr>
        <w:t xml:space="preserve">This final Set node stores the LLM's raw text output under a field named Research Insights, which is the value returned to the calling Workflow 1 execution and subsequently placed into the Edit Fields2 node there.</w:t>
      </w:r>
    </w:p>
    <w:p>
      <w:pPr>
        <w:pStyle w:val="Heading2"/>
        <w:spacing w:after="160" w:before="280"/>
      </w:pPr>
      <w:r>
        <w:rPr>
          <w:rFonts w:ascii="Calibri" w:cs="Calibri" w:eastAsia="Calibri" w:hAnsi="Calibri"/>
          <w:b/>
          <w:bCs/>
          <w:color w:val="2E5395"/>
          <w:sz w:val="26"/>
          <w:szCs w:val="26"/>
        </w:rPr>
        <w:t xml:space="preserve">13.6 Inputs</w:t>
      </w:r>
    </w:p>
    <w:p>
      <w:pPr>
        <w:pStyle w:val="ListParagraph"/>
        <w:numPr>
          <w:ilvl w:val="0"/>
          <w:numId w:val="2"/>
        </w:numPr>
        <w:spacing w:after="100" w:line="276"/>
      </w:pPr>
      <w:r>
        <w:rPr>
          <w:rFonts w:ascii="Calibri" w:cs="Calibri" w:eastAsia="Calibri" w:hAnsi="Calibri"/>
          <w:sz w:val="22"/>
          <w:szCs w:val="22"/>
        </w:rPr>
        <w:t xml:space="preserve">Research Topic and Research Goal, both taken from the original user-submitted form in Workflow 1.</w:t>
      </w:r>
    </w:p>
    <w:p>
      <w:pPr>
        <w:pStyle w:val="ListParagraph"/>
        <w:numPr>
          <w:ilvl w:val="0"/>
          <w:numId w:val="2"/>
        </w:numPr>
        <w:spacing w:after="100" w:line="276"/>
      </w:pPr>
      <w:r>
        <w:rPr>
          <w:rFonts w:ascii="Calibri" w:cs="Calibri" w:eastAsia="Calibri" w:hAnsi="Calibri"/>
          <w:sz w:val="22"/>
          <w:szCs w:val="22"/>
        </w:rPr>
        <w:t xml:space="preserve">Paper Data, a JSON string containing every analysed paper's metadata and individual AI Analysis text, produced by aggregating Workflow 1's arXiv processing branch.</w:t>
      </w:r>
    </w:p>
    <w:p>
      <w:pPr>
        <w:pStyle w:val="Heading2"/>
        <w:spacing w:after="160" w:before="280"/>
      </w:pPr>
      <w:r>
        <w:rPr>
          <w:rFonts w:ascii="Calibri" w:cs="Calibri" w:eastAsia="Calibri" w:hAnsi="Calibri"/>
          <w:b/>
          <w:bCs/>
          <w:color w:val="2E5395"/>
          <w:sz w:val="26"/>
          <w:szCs w:val="26"/>
        </w:rPr>
        <w:t xml:space="preserve">13.7 Outputs</w:t>
      </w:r>
    </w:p>
    <w:p>
      <w:pPr>
        <w:pStyle w:val="ListParagraph"/>
        <w:numPr>
          <w:ilvl w:val="0"/>
          <w:numId w:val="2"/>
        </w:numPr>
        <w:spacing w:after="100" w:line="276"/>
      </w:pPr>
      <w:r>
        <w:rPr>
          <w:rFonts w:ascii="Calibri" w:cs="Calibri" w:eastAsia="Calibri" w:hAnsi="Calibri"/>
          <w:sz w:val="22"/>
          <w:szCs w:val="22"/>
        </w:rPr>
        <w:t xml:space="preserve">A single Research Insights text field containing the six-section structured cross-paper analysis, returned to the calling workflow.</w:t>
      </w:r>
    </w:p>
    <w:p>
      <w:pPr>
        <w:pStyle w:val="Heading2"/>
        <w:spacing w:after="160" w:before="280"/>
      </w:pPr>
      <w:r>
        <w:rPr>
          <w:rFonts w:ascii="Calibri" w:cs="Calibri" w:eastAsia="Calibri" w:hAnsi="Calibri"/>
          <w:b/>
          <w:bCs/>
          <w:color w:val="2E5395"/>
          <w:sz w:val="26"/>
          <w:szCs w:val="26"/>
        </w:rPr>
        <w:t xml:space="preserve">13.8 Data Flow Summary</w:t>
      </w:r>
    </w:p>
    <w:p>
      <w:pPr>
        <w:spacing w:after="160" w:line="276"/>
        <w:jc w:val="both"/>
      </w:pPr>
      <w:r>
        <w:rPr>
          <w:rFonts w:ascii="Calibri" w:cs="Calibri" w:eastAsia="Calibri" w:hAnsi="Calibri"/>
          <w:b w:val="false"/>
          <w:bCs w:val="false"/>
          <w:i w:val="false"/>
          <w:iCs w:val="false"/>
          <w:sz w:val="22"/>
          <w:szCs w:val="22"/>
        </w:rPr>
        <w:t xml:space="preserve">Execute Workflow Trigger (Research Topic, Research Goal, Paper Data) -&gt; Basic LLM Chain (with OpenAI Chat Model as language model) -&gt; Edit Fields (Research Insights) -&gt; returned to Workflow 1.</w:t>
      </w:r>
    </w:p>
    <w:p>
      <w:pPr>
        <w:pStyle w:val="Heading2"/>
        <w:spacing w:after="160" w:before="280"/>
      </w:pPr>
      <w:r>
        <w:rPr>
          <w:rFonts w:ascii="Calibri" w:cs="Calibri" w:eastAsia="Calibri" w:hAnsi="Calibri"/>
          <w:b/>
          <w:bCs/>
          <w:color w:val="2E5395"/>
          <w:sz w:val="26"/>
          <w:szCs w:val="26"/>
        </w:rPr>
        <w:t xml:space="preserve">13.9 Research Insights Produced</w:t>
      </w:r>
    </w:p>
    <w:p>
      <w:pPr>
        <w:spacing w:after="160" w:line="276"/>
        <w:jc w:val="both"/>
      </w:pPr>
      <w:r>
        <w:rPr>
          <w:rFonts w:ascii="Calibri" w:cs="Calibri" w:eastAsia="Calibri" w:hAnsi="Calibri"/>
          <w:b w:val="false"/>
          <w:bCs w:val="false"/>
          <w:i w:val="false"/>
          <w:iCs w:val="false"/>
          <w:sz w:val="22"/>
          <w:szCs w:val="22"/>
        </w:rPr>
        <w:t xml:space="preserve">The research insights produced by this workflow form the analytical core of the final report. Because the prompt explicitly ties the analysis to the user's stated Research Goal, the generated insights are goal-oriented rather than being a generic literature summary — the model is asked, in its final section, to explain specifically how the collected papers help the researcher achieve what they set out to do.</w:t>
      </w:r>
    </w:p>
    <w:p>
      <w:pPr>
        <w:pStyle w:val="Heading2"/>
        <w:spacing w:after="160" w:before="280"/>
      </w:pPr>
      <w:r>
        <w:rPr>
          <w:rFonts w:ascii="Calibri" w:cs="Calibri" w:eastAsia="Calibri" w:hAnsi="Calibri"/>
          <w:b/>
          <w:bCs/>
          <w:color w:val="2E5395"/>
          <w:sz w:val="26"/>
          <w:szCs w:val="26"/>
        </w:rPr>
        <w:t xml:space="preserve">13.10 Error Handling</w:t>
      </w:r>
    </w:p>
    <w:p>
      <w:pPr>
        <w:spacing w:after="160" w:line="276"/>
        <w:jc w:val="both"/>
      </w:pPr>
      <w:r>
        <w:rPr>
          <w:rFonts w:ascii="Calibri" w:cs="Calibri" w:eastAsia="Calibri" w:hAnsi="Calibri"/>
          <w:b w:val="false"/>
          <w:bCs w:val="false"/>
          <w:i w:val="false"/>
          <w:iCs w:val="false"/>
          <w:sz w:val="22"/>
          <w:szCs w:val="22"/>
        </w:rPr>
        <w:t xml:space="preserve">No explicit error-handling logic, retries, or fallback nodes are configured in this workflow. Should the OpenAI Chat Model node fail — for example due to an invalid credential or an oversized Paper Data payload exceeding the model's context handling — the workflow execution would fail, and no Research Insights value would be returned to Workflow 1, which would in turn be unable to proceed to its final report-generation and email steps.</w:t>
      </w:r>
    </w:p>
    <w:p>
      <w:pPr>
        <w:pStyle w:val="Heading2"/>
        <w:spacing w:after="160" w:before="280"/>
      </w:pPr>
      <w:r>
        <w:rPr>
          <w:rFonts w:ascii="Calibri" w:cs="Calibri" w:eastAsia="Calibri" w:hAnsi="Calibri"/>
          <w:b/>
          <w:bCs/>
          <w:color w:val="2E5395"/>
          <w:sz w:val="26"/>
          <w:szCs w:val="26"/>
        </w:rPr>
        <w:t xml:space="preserve">13.11 Advantages</w:t>
      </w:r>
    </w:p>
    <w:p>
      <w:pPr>
        <w:pStyle w:val="ListParagraph"/>
        <w:numPr>
          <w:ilvl w:val="0"/>
          <w:numId w:val="2"/>
        </w:numPr>
        <w:spacing w:after="100" w:line="276"/>
      </w:pPr>
      <w:r>
        <w:rPr>
          <w:rFonts w:ascii="Calibri" w:cs="Calibri" w:eastAsia="Calibri" w:hAnsi="Calibri"/>
          <w:sz w:val="22"/>
          <w:szCs w:val="22"/>
        </w:rPr>
        <w:t xml:space="preserve">Separates the cross-paper synthesis responsibility from the per-paper analysis responsibility, keeping each workflow focused on a single task.</w:t>
      </w:r>
    </w:p>
    <w:p>
      <w:pPr>
        <w:pStyle w:val="ListParagraph"/>
        <w:numPr>
          <w:ilvl w:val="0"/>
          <w:numId w:val="2"/>
        </w:numPr>
        <w:spacing w:after="100" w:line="276"/>
      </w:pPr>
      <w:r>
        <w:rPr>
          <w:rFonts w:ascii="Calibri" w:cs="Calibri" w:eastAsia="Calibri" w:hAnsi="Calibri"/>
          <w:sz w:val="22"/>
          <w:szCs w:val="22"/>
        </w:rPr>
        <w:t xml:space="preserve">Ties the generated insights directly to the user's stated research goal rather than producing a generic summary.</w:t>
      </w:r>
    </w:p>
    <w:p>
      <w:pPr>
        <w:pStyle w:val="ListParagraph"/>
        <w:numPr>
          <w:ilvl w:val="0"/>
          <w:numId w:val="2"/>
        </w:numPr>
        <w:spacing w:after="100" w:line="276"/>
      </w:pPr>
      <w:r>
        <w:rPr>
          <w:rFonts w:ascii="Calibri" w:cs="Calibri" w:eastAsia="Calibri" w:hAnsi="Calibri"/>
          <w:sz w:val="22"/>
          <w:szCs w:val="22"/>
        </w:rPr>
        <w:t xml:space="preserve">Can be reused independently by other calling workflows that supply the same three input fields in future.</w:t>
      </w:r>
    </w:p>
    <w:p>
      <w:pPr>
        <w:pStyle w:val="Heading2"/>
        <w:spacing w:after="160" w:before="280"/>
      </w:pPr>
      <w:r>
        <w:rPr>
          <w:rFonts w:ascii="Calibri" w:cs="Calibri" w:eastAsia="Calibri" w:hAnsi="Calibri"/>
          <w:b/>
          <w:bCs/>
          <w:color w:val="2E5395"/>
          <w:sz w:val="26"/>
          <w:szCs w:val="26"/>
        </w:rPr>
        <w:t xml:space="preserve">13.12 Screenshots</w:t>
      </w:r>
    </w:p>
    <w:p>
      <w:pPr>
        <w:spacing w:after="80" w:before="160"/>
        <w:jc w:val="center"/>
      </w:pPr>
      <w:r>
        <w:rPr>
          <w:rFonts w:ascii="Calibri" w:cs="Calibri" w:eastAsia="Calibri" w:hAnsi="Calibri"/>
          <w:b/>
          <w:bCs/>
          <w:color w:val="1F3864"/>
          <w:sz w:val="22"/>
          <w:szCs w:val="22"/>
        </w:rPr>
        <w:t xml:space="preserve">Figure 13.1: Workflow 03 Canvas</w:t>
      </w:r>
    </w:p>
    <w:p>
      <w:pPr>
        <w:pBdr>
          <w:top w:val="single" w:color="999999" w:sz="4"/>
          <w:bottom w:val="single" w:color="999999" w:sz="4"/>
          <w:left w:val="single" w:color="999999" w:sz="4"/>
          <w:right w:val="single" w:color="999999" w:sz="4"/>
        </w:pBdr>
        <w:shd w:fill="F2F2F2" w:val="clear"/>
        <w:spacing w:after="120"/>
        <w:jc w:val="center"/>
      </w:pPr>
      <w:r>
        <w:rPr>
          <w:rFonts w:ascii="Calibri" w:cs="Calibri" w:eastAsia="Calibri" w:hAnsi="Calibri"/>
          <w:i/>
          <w:iCs/>
          <w:color w:val="595959"/>
          <w:sz w:val="22"/>
          <w:szCs w:val="22"/>
        </w:rPr>
        <w:t xml:space="preserve">[Insert Workflow 03 Canvas]</w:t>
      </w:r>
    </w:p>
    <w:p>
      <w:pPr>
        <w:spacing w:after="200" w:line="276"/>
        <w:jc w:val="both"/>
      </w:pPr>
      <w:r>
        <w:rPr>
          <w:rFonts w:ascii="Calibri" w:cs="Calibri" w:eastAsia="Calibri" w:hAnsi="Calibri"/>
          <w:i/>
          <w:iCs/>
          <w:color w:val="404040"/>
          <w:sz w:val="22"/>
          <w:szCs w:val="22"/>
        </w:rPr>
        <w:t xml:space="preserve">This figure shows the complete n8n node graph for Workflow 03, illustrating the single-prompt insight-synthesis structure described in Section 13.4.</w:t>
      </w:r>
    </w:p>
    <w:p>
      <w:pPr>
        <w:spacing w:after="80" w:before="160"/>
        <w:jc w:val="center"/>
      </w:pPr>
      <w:r>
        <w:rPr>
          <w:rFonts w:ascii="Calibri" w:cs="Calibri" w:eastAsia="Calibri" w:hAnsi="Calibri"/>
          <w:b/>
          <w:bCs/>
          <w:color w:val="1F3864"/>
          <w:sz w:val="22"/>
          <w:szCs w:val="22"/>
        </w:rPr>
        <w:t xml:space="preserve">Figure 13.2: Workflow 03 Sample Output</w:t>
      </w:r>
    </w:p>
    <w:p>
      <w:pPr>
        <w:pBdr>
          <w:top w:val="single" w:color="999999" w:sz="4"/>
          <w:bottom w:val="single" w:color="999999" w:sz="4"/>
          <w:left w:val="single" w:color="999999" w:sz="4"/>
          <w:right w:val="single" w:color="999999" w:sz="4"/>
        </w:pBdr>
        <w:shd w:fill="F2F2F2" w:val="clear"/>
        <w:spacing w:after="120"/>
        <w:jc w:val="center"/>
      </w:pPr>
      <w:r>
        <w:rPr>
          <w:rFonts w:ascii="Calibri" w:cs="Calibri" w:eastAsia="Calibri" w:hAnsi="Calibri"/>
          <w:i/>
          <w:iCs/>
          <w:color w:val="595959"/>
          <w:sz w:val="22"/>
          <w:szCs w:val="22"/>
        </w:rPr>
        <w:t xml:space="preserve">[Insert Workflow 03 Sample Output]</w:t>
      </w:r>
    </w:p>
    <w:p>
      <w:pPr>
        <w:spacing w:after="200" w:line="276"/>
        <w:jc w:val="both"/>
      </w:pPr>
      <w:r>
        <w:rPr>
          <w:rFonts w:ascii="Calibri" w:cs="Calibri" w:eastAsia="Calibri" w:hAnsi="Calibri"/>
          <w:i/>
          <w:iCs/>
          <w:color w:val="404040"/>
          <w:sz w:val="22"/>
          <w:szCs w:val="22"/>
        </w:rPr>
        <w:t xml:space="preserve">This figure shows a sample Research Insights output produced by Workflow 03, structured into the six sections described in Section 13.5.2.</w:t>
      </w:r>
    </w:p>
    <w:p>
      <w:r>
        <w:br w:type="page"/>
      </w:r>
    </w:p>
    <w:p>
      <w:pPr>
        <w:pStyle w:val="Heading1"/>
        <w:spacing w:after="200" w:before="360"/>
      </w:pPr>
      <w:r>
        <w:rPr>
          <w:rFonts w:ascii="Calibri" w:cs="Calibri" w:eastAsia="Calibri" w:hAnsi="Calibri"/>
          <w:b/>
          <w:bCs/>
          <w:color w:val="1F3864"/>
          <w:sz w:val="32"/>
          <w:szCs w:val="32"/>
        </w:rPr>
        <w:t xml:space="preserve">APIs Used</w:t>
      </w:r>
    </w:p>
    <w:p>
      <w:pPr>
        <w:spacing w:after="160" w:line="276"/>
        <w:jc w:val="both"/>
      </w:pPr>
      <w:r>
        <w:rPr>
          <w:rFonts w:ascii="Calibri" w:cs="Calibri" w:eastAsia="Calibri" w:hAnsi="Calibri"/>
          <w:b w:val="false"/>
          <w:bCs w:val="false"/>
          <w:i w:val="false"/>
          <w:iCs w:val="false"/>
          <w:sz w:val="22"/>
          <w:szCs w:val="22"/>
        </w:rPr>
        <w:t xml:space="preserve">Sections 11 and 12 described how the arXiv API and the OpenAlex API are consumed inside Workflow 01 and Workflow 02 respectively. This section documents each API in more detail, covering its purpose, request format, response format and advantages.</w:t>
      </w:r>
    </w:p>
    <w:p>
      <w:pPr>
        <w:pStyle w:val="Heading2"/>
        <w:spacing w:after="160" w:before="280"/>
      </w:pPr>
      <w:r>
        <w:rPr>
          <w:rFonts w:ascii="Calibri" w:cs="Calibri" w:eastAsia="Calibri" w:hAnsi="Calibri"/>
          <w:b/>
          <w:bCs/>
          <w:color w:val="2E5395"/>
          <w:sz w:val="26"/>
          <w:szCs w:val="26"/>
        </w:rPr>
        <w:t xml:space="preserve">14.1 arXiv API</w:t>
      </w:r>
    </w:p>
    <w:p>
      <w:pPr>
        <w:pStyle w:val="Heading3"/>
        <w:spacing w:after="120" w:before="220"/>
      </w:pPr>
      <w:r>
        <w:rPr>
          <w:rFonts w:ascii="Calibri" w:cs="Calibri" w:eastAsia="Calibri" w:hAnsi="Calibri"/>
          <w:b/>
          <w:bCs/>
          <w:color w:val="44546A"/>
          <w:sz w:val="23"/>
          <w:szCs w:val="23"/>
        </w:rPr>
        <w:t xml:space="preserve">Purpose</w:t>
      </w:r>
    </w:p>
    <w:p>
      <w:pPr>
        <w:spacing w:after="160" w:line="276"/>
        <w:jc w:val="both"/>
      </w:pPr>
      <w:r>
        <w:rPr>
          <w:rFonts w:ascii="Calibri" w:cs="Calibri" w:eastAsia="Calibri" w:hAnsi="Calibri"/>
          <w:b w:val="false"/>
          <w:bCs w:val="false"/>
          <w:i w:val="false"/>
          <w:iCs w:val="false"/>
          <w:sz w:val="22"/>
          <w:szCs w:val="22"/>
        </w:rPr>
        <w:t xml:space="preserve">The arXiv API is used by Workflow 1 to discover recently submitted preprints matching the user's research topic and keywords. It is queried at the endpoint https://export.arxiv.org/api/query.</w:t>
      </w:r>
    </w:p>
    <w:p>
      <w:pPr>
        <w:pStyle w:val="Heading3"/>
        <w:spacing w:after="120" w:before="220"/>
      </w:pPr>
      <w:r>
        <w:rPr>
          <w:rFonts w:ascii="Calibri" w:cs="Calibri" w:eastAsia="Calibri" w:hAnsi="Calibri"/>
          <w:b/>
          <w:bCs/>
          <w:color w:val="44546A"/>
          <w:sz w:val="23"/>
          <w:szCs w:val="23"/>
        </w:rPr>
        <w:t xml:space="preserve">Request Format</w:t>
      </w:r>
    </w:p>
    <w:p>
      <w:pPr>
        <w:spacing w:after="160" w:line="276"/>
        <w:jc w:val="both"/>
      </w:pPr>
      <w:r>
        <w:rPr>
          <w:rFonts w:ascii="Calibri" w:cs="Calibri" w:eastAsia="Calibri" w:hAnsi="Calibri"/>
          <w:b w:val="false"/>
          <w:bCs w:val="false"/>
          <w:i w:val="false"/>
          <w:iCs w:val="false"/>
          <w:sz w:val="22"/>
          <w:szCs w:val="22"/>
        </w:rPr>
        <w:t xml:space="preserve">The workflow issues a GET request with query parameters search_query (a combination of the research topic and optional keywords expressed using arXiv's field-search syntax, for example all:"topic" AND all:("keyword1" OR "keyword2")), start (fixed at 0), max_results (set from the form's Number of Papers selection), sortBy (submittedDate) and sortOrder (descending).</w:t>
      </w:r>
    </w:p>
    <w:p>
      <w:pPr>
        <w:pStyle w:val="Heading3"/>
        <w:spacing w:after="120" w:before="220"/>
      </w:pPr>
      <w:r>
        <w:rPr>
          <w:rFonts w:ascii="Calibri" w:cs="Calibri" w:eastAsia="Calibri" w:hAnsi="Calibri"/>
          <w:b/>
          <w:bCs/>
          <w:color w:val="44546A"/>
          <w:sz w:val="23"/>
          <w:szCs w:val="23"/>
        </w:rPr>
        <w:t xml:space="preserve">Response Format</w:t>
      </w:r>
    </w:p>
    <w:p>
      <w:pPr>
        <w:spacing w:after="160" w:line="276"/>
        <w:jc w:val="both"/>
      </w:pPr>
      <w:r>
        <w:rPr>
          <w:rFonts w:ascii="Calibri" w:cs="Calibri" w:eastAsia="Calibri" w:hAnsi="Calibri"/>
          <w:b w:val="false"/>
          <w:bCs w:val="false"/>
          <w:i w:val="false"/>
          <w:iCs w:val="false"/>
          <w:sz w:val="22"/>
          <w:szCs w:val="22"/>
        </w:rPr>
        <w:t xml:space="preserve">arXiv returns an Atom XML feed, where each matching paper is represented as a feed.entry element containing fields such as title, summary (the abstract), author, published, id (the paper URL) and a set of link elements, one of which points to the PDF version of the paper.</w:t>
      </w:r>
    </w:p>
    <w:p>
      <w:pPr>
        <w:pStyle w:val="Heading3"/>
        <w:spacing w:after="120" w:before="220"/>
      </w:pPr>
      <w:r>
        <w:rPr>
          <w:rFonts w:ascii="Calibri" w:cs="Calibri" w:eastAsia="Calibri" w:hAnsi="Calibri"/>
          <w:b/>
          <w:bCs/>
          <w:color w:val="44546A"/>
          <w:sz w:val="23"/>
          <w:szCs w:val="23"/>
        </w:rPr>
        <w:t xml:space="preserve">Advantages</w:t>
      </w:r>
    </w:p>
    <w:p>
      <w:pPr>
        <w:pStyle w:val="ListParagraph"/>
        <w:numPr>
          <w:ilvl w:val="0"/>
          <w:numId w:val="2"/>
        </w:numPr>
        <w:spacing w:after="100" w:line="276"/>
      </w:pPr>
      <w:r>
        <w:rPr>
          <w:rFonts w:ascii="Calibri" w:cs="Calibri" w:eastAsia="Calibri" w:hAnsi="Calibri"/>
          <w:sz w:val="22"/>
          <w:szCs w:val="22"/>
        </w:rPr>
        <w:t xml:space="preserve">No authentication or API key is required, simplifying integration.</w:t>
      </w:r>
    </w:p>
    <w:p>
      <w:pPr>
        <w:pStyle w:val="ListParagraph"/>
        <w:numPr>
          <w:ilvl w:val="0"/>
          <w:numId w:val="2"/>
        </w:numPr>
        <w:spacing w:after="100" w:line="276"/>
      </w:pPr>
      <w:r>
        <w:rPr>
          <w:rFonts w:ascii="Calibri" w:cs="Calibri" w:eastAsia="Calibri" w:hAnsi="Calibri"/>
          <w:sz w:val="22"/>
          <w:szCs w:val="22"/>
        </w:rPr>
        <w:t xml:space="preserve">Provides direct access to preprint abstracts and PDF links, which is well suited to fast-moving fields such as computer science.</w:t>
      </w:r>
    </w:p>
    <w:p>
      <w:pPr>
        <w:pStyle w:val="ListParagraph"/>
        <w:numPr>
          <w:ilvl w:val="0"/>
          <w:numId w:val="2"/>
        </w:numPr>
        <w:spacing w:after="100" w:line="276"/>
      </w:pPr>
      <w:r>
        <w:rPr>
          <w:rFonts w:ascii="Calibri" w:cs="Calibri" w:eastAsia="Calibri" w:hAnsi="Calibri"/>
          <w:sz w:val="22"/>
          <w:szCs w:val="22"/>
        </w:rPr>
        <w:t xml:space="preserve">Supports sorting by submission date, allowing the workflow to prioritise the most recent research.</w:t>
      </w:r>
    </w:p>
    <w:p>
      <w:pPr>
        <w:pStyle w:val="Heading2"/>
        <w:spacing w:after="160" w:before="280"/>
      </w:pPr>
      <w:r>
        <w:rPr>
          <w:rFonts w:ascii="Calibri" w:cs="Calibri" w:eastAsia="Calibri" w:hAnsi="Calibri"/>
          <w:b/>
          <w:bCs/>
          <w:color w:val="2E5395"/>
          <w:sz w:val="26"/>
          <w:szCs w:val="26"/>
        </w:rPr>
        <w:t xml:space="preserve">14.2 OpenAlex API</w:t>
      </w:r>
    </w:p>
    <w:p>
      <w:pPr>
        <w:pStyle w:val="Heading3"/>
        <w:spacing w:after="120" w:before="220"/>
      </w:pPr>
      <w:r>
        <w:rPr>
          <w:rFonts w:ascii="Calibri" w:cs="Calibri" w:eastAsia="Calibri" w:hAnsi="Calibri"/>
          <w:b/>
          <w:bCs/>
          <w:color w:val="44546A"/>
          <w:sz w:val="23"/>
          <w:szCs w:val="23"/>
        </w:rPr>
        <w:t xml:space="preserve">Purpose</w:t>
      </w:r>
    </w:p>
    <w:p>
      <w:pPr>
        <w:spacing w:after="160" w:line="276"/>
        <w:jc w:val="both"/>
      </w:pPr>
      <w:r>
        <w:rPr>
          <w:rFonts w:ascii="Calibri" w:cs="Calibri" w:eastAsia="Calibri" w:hAnsi="Calibri"/>
          <w:b w:val="false"/>
          <w:bCs w:val="false"/>
          <w:i w:val="false"/>
          <w:iCs w:val="false"/>
          <w:sz w:val="22"/>
          <w:szCs w:val="22"/>
        </w:rPr>
        <w:t xml:space="preserve">The OpenAlex API is used by Workflow 2 to independently retrieve scholarly works matching the research topic, from a broader, multidisciplinary index than arXiv alone.</w:t>
      </w:r>
    </w:p>
    <w:p>
      <w:pPr>
        <w:pStyle w:val="Heading3"/>
        <w:spacing w:after="120" w:before="220"/>
      </w:pPr>
      <w:r>
        <w:rPr>
          <w:rFonts w:ascii="Calibri" w:cs="Calibri" w:eastAsia="Calibri" w:hAnsi="Calibri"/>
          <w:b/>
          <w:bCs/>
          <w:color w:val="44546A"/>
          <w:sz w:val="23"/>
          <w:szCs w:val="23"/>
        </w:rPr>
        <w:t xml:space="preserve">Request Format</w:t>
      </w:r>
    </w:p>
    <w:p>
      <w:pPr>
        <w:spacing w:after="160" w:line="276"/>
        <w:jc w:val="both"/>
      </w:pPr>
      <w:r>
        <w:rPr>
          <w:rFonts w:ascii="Calibri" w:cs="Calibri" w:eastAsia="Calibri" w:hAnsi="Calibri"/>
          <w:b w:val="false"/>
          <w:bCs w:val="false"/>
          <w:i w:val="false"/>
          <w:iCs w:val="false"/>
          <w:sz w:val="22"/>
          <w:szCs w:val="22"/>
        </w:rPr>
        <w:t xml:space="preserve">The workflow issues a GET request to https://api.openalex.org/works with query parameters search (the research topic) and per-page (fixed at 10, limiting the number of candidate papers retrieved per invocation).</w:t>
      </w:r>
    </w:p>
    <w:p>
      <w:pPr>
        <w:pStyle w:val="Heading3"/>
        <w:spacing w:after="120" w:before="220"/>
      </w:pPr>
      <w:r>
        <w:rPr>
          <w:rFonts w:ascii="Calibri" w:cs="Calibri" w:eastAsia="Calibri" w:hAnsi="Calibri"/>
          <w:b/>
          <w:bCs/>
          <w:color w:val="44546A"/>
          <w:sz w:val="23"/>
          <w:szCs w:val="23"/>
        </w:rPr>
        <w:t xml:space="preserve">Response Format</w:t>
      </w:r>
    </w:p>
    <w:p>
      <w:pPr>
        <w:spacing w:after="160" w:line="276"/>
        <w:jc w:val="both"/>
      </w:pPr>
      <w:r>
        <w:rPr>
          <w:rFonts w:ascii="Calibri" w:cs="Calibri" w:eastAsia="Calibri" w:hAnsi="Calibri"/>
          <w:b w:val="false"/>
          <w:bCs w:val="false"/>
          <w:i w:val="false"/>
          <w:iCs w:val="false"/>
          <w:sz w:val="22"/>
          <w:szCs w:val="22"/>
        </w:rPr>
        <w:t xml:space="preserve">OpenAlex returns a JSON object containing a results array, where each element represents one work and includes fields such as title, authorships (an array of author records), publication_date, doi, primary_location.landing_page_url and a unique OpenAlex work id.</w:t>
      </w:r>
    </w:p>
    <w:p>
      <w:pPr>
        <w:pStyle w:val="Heading3"/>
        <w:spacing w:after="120" w:before="220"/>
      </w:pPr>
      <w:r>
        <w:rPr>
          <w:rFonts w:ascii="Calibri" w:cs="Calibri" w:eastAsia="Calibri" w:hAnsi="Calibri"/>
          <w:b/>
          <w:bCs/>
          <w:color w:val="44546A"/>
          <w:sz w:val="23"/>
          <w:szCs w:val="23"/>
        </w:rPr>
        <w:t xml:space="preserve">Advantages</w:t>
      </w:r>
    </w:p>
    <w:p>
      <w:pPr>
        <w:pStyle w:val="ListParagraph"/>
        <w:numPr>
          <w:ilvl w:val="0"/>
          <w:numId w:val="2"/>
        </w:numPr>
        <w:spacing w:after="100" w:line="276"/>
      </w:pPr>
      <w:r>
        <w:rPr>
          <w:rFonts w:ascii="Calibri" w:cs="Calibri" w:eastAsia="Calibri" w:hAnsi="Calibri"/>
          <w:sz w:val="22"/>
          <w:szCs w:val="22"/>
        </w:rPr>
        <w:t xml:space="preserve">Returns data natively in JSON, avoiding the need for an intermediate XML parsing step.</w:t>
      </w:r>
    </w:p>
    <w:p>
      <w:pPr>
        <w:pStyle w:val="ListParagraph"/>
        <w:numPr>
          <w:ilvl w:val="0"/>
          <w:numId w:val="2"/>
        </w:numPr>
        <w:spacing w:after="100" w:line="276"/>
      </w:pPr>
      <w:r>
        <w:rPr>
          <w:rFonts w:ascii="Calibri" w:cs="Calibri" w:eastAsia="Calibri" w:hAnsi="Calibri"/>
          <w:sz w:val="22"/>
          <w:szCs w:val="22"/>
        </w:rPr>
        <w:t xml:space="preserve">Covers a broader range of publication venues and disciplines than arXiv alone, including published journal articles.</w:t>
      </w:r>
    </w:p>
    <w:p>
      <w:pPr>
        <w:pStyle w:val="ListParagraph"/>
        <w:numPr>
          <w:ilvl w:val="0"/>
          <w:numId w:val="2"/>
        </w:numPr>
        <w:spacing w:after="100" w:line="276"/>
      </w:pPr>
      <w:r>
        <w:rPr>
          <w:rFonts w:ascii="Calibri" w:cs="Calibri" w:eastAsia="Calibri" w:hAnsi="Calibri"/>
          <w:sz w:val="22"/>
          <w:szCs w:val="22"/>
        </w:rPr>
        <w:t xml:space="preserve">Provides structured author and DOI metadata that can be used for citation and relevance analysis.</w:t>
      </w:r>
    </w:p>
    <w:p>
      <w:r>
        <w:br w:type="page"/>
      </w:r>
    </w:p>
    <w:p>
      <w:pPr>
        <w:pStyle w:val="Heading1"/>
        <w:spacing w:after="200" w:before="360"/>
      </w:pPr>
      <w:r>
        <w:rPr>
          <w:rFonts w:ascii="Calibri" w:cs="Calibri" w:eastAsia="Calibri" w:hAnsi="Calibri"/>
          <w:b/>
          <w:bCs/>
          <w:color w:val="1F3864"/>
          <w:sz w:val="32"/>
          <w:szCs w:val="32"/>
        </w:rPr>
        <w:t xml:space="preserve">Prompt Engineering</w:t>
      </w:r>
    </w:p>
    <w:p>
      <w:pPr>
        <w:spacing w:after="160" w:line="276"/>
        <w:jc w:val="both"/>
      </w:pPr>
      <w:r>
        <w:rPr>
          <w:rFonts w:ascii="Calibri" w:cs="Calibri" w:eastAsia="Calibri" w:hAnsi="Calibri"/>
          <w:b w:val="false"/>
          <w:bCs w:val="false"/>
          <w:i w:val="false"/>
          <w:iCs w:val="false"/>
          <w:sz w:val="22"/>
          <w:szCs w:val="22"/>
        </w:rPr>
        <w:t xml:space="preserve">Sections 11 to 13 introduced each of the four prompts in the context of the node that uses them. This section consolidates and compares all four prompts side by side, since consistent prompt design is central to the reliability of the system. Every prompt follows the same structure: it assigns the model a specific role, supplies the relevant input data through n8n expressions, defines an explicit, numbered output structure, and instructs the model not to invent information beyond what is supported by the supplied data.</w:t>
      </w:r>
    </w:p>
    <w:p>
      <w:pPr>
        <w:pStyle w:val="Heading2"/>
        <w:spacing w:after="160" w:before="280"/>
      </w:pPr>
      <w:r>
        <w:rPr>
          <w:rFonts w:ascii="Calibri" w:cs="Calibri" w:eastAsia="Calibri" w:hAnsi="Calibri"/>
          <w:b/>
          <w:bCs/>
          <w:color w:val="2E5395"/>
          <w:sz w:val="26"/>
          <w:szCs w:val="26"/>
        </w:rPr>
        <w:t xml:space="preserve">15.1 Prompt 1 — Per-Paper Analysis (Workflow 1, Basic LLM Chain)</w:t>
      </w:r>
    </w:p>
    <w:p>
      <w:pPr>
        <w:pStyle w:val="Heading3"/>
        <w:spacing w:after="120" w:before="220"/>
      </w:pPr>
      <w:r>
        <w:rPr>
          <w:rFonts w:ascii="Calibri" w:cs="Calibri" w:eastAsia="Calibri" w:hAnsi="Calibri"/>
          <w:b/>
          <w:bCs/>
          <w:color w:val="44546A"/>
          <w:sz w:val="23"/>
          <w:szCs w:val="23"/>
        </w:rPr>
        <w:t xml:space="preserve">Role</w:t>
      </w:r>
    </w:p>
    <w:p>
      <w:pPr>
        <w:spacing w:after="160" w:line="276"/>
        <w:jc w:val="both"/>
      </w:pPr>
      <w:r>
        <w:rPr>
          <w:rFonts w:ascii="Calibri" w:cs="Calibri" w:eastAsia="Calibri" w:hAnsi="Calibri"/>
          <w:b w:val="false"/>
          <w:bCs w:val="false"/>
          <w:i w:val="false"/>
          <w:iCs w:val="false"/>
          <w:sz w:val="22"/>
          <w:szCs w:val="22"/>
        </w:rPr>
        <w:t xml:space="preserve">The model is instructed to act as an "AI Research Assistant" analysing a single academic paper.</w:t>
      </w:r>
    </w:p>
    <w:p>
      <w:pPr>
        <w:pStyle w:val="Heading3"/>
        <w:spacing w:after="120" w:before="220"/>
      </w:pPr>
      <w:r>
        <w:rPr>
          <w:rFonts w:ascii="Calibri" w:cs="Calibri" w:eastAsia="Calibri" w:hAnsi="Calibri"/>
          <w:b/>
          <w:bCs/>
          <w:color w:val="44546A"/>
          <w:sz w:val="23"/>
          <w:szCs w:val="23"/>
        </w:rPr>
        <w:t xml:space="preserve">Instructions</w:t>
      </w:r>
    </w:p>
    <w:p>
      <w:pPr>
        <w:spacing w:after="160" w:line="276"/>
        <w:jc w:val="both"/>
      </w:pPr>
      <w:r>
        <w:rPr>
          <w:rFonts w:ascii="Calibri" w:cs="Calibri" w:eastAsia="Calibri" w:hAnsi="Calibri"/>
          <w:b w:val="false"/>
          <w:bCs w:val="false"/>
          <w:i w:val="false"/>
          <w:iCs w:val="false"/>
          <w:sz w:val="22"/>
          <w:szCs w:val="22"/>
        </w:rPr>
        <w:t xml:space="preserve">The model is given only the paper's Title and Abstract and is instructed to work solely from this information, without accessing the full text of the paper.</w:t>
      </w:r>
    </w:p>
    <w:p>
      <w:pPr>
        <w:pStyle w:val="Heading3"/>
        <w:spacing w:after="120" w:before="220"/>
      </w:pPr>
      <w:r>
        <w:rPr>
          <w:rFonts w:ascii="Calibri" w:cs="Calibri" w:eastAsia="Calibri" w:hAnsi="Calibri"/>
          <w:b/>
          <w:bCs/>
          <w:color w:val="44546A"/>
          <w:sz w:val="23"/>
          <w:szCs w:val="23"/>
        </w:rPr>
        <w:t xml:space="preserve">Output Format</w:t>
      </w:r>
    </w:p>
    <w:p>
      <w:pPr>
        <w:spacing w:after="160" w:line="276"/>
        <w:jc w:val="both"/>
      </w:pPr>
      <w:r>
        <w:rPr>
          <w:rFonts w:ascii="Calibri" w:cs="Calibri" w:eastAsia="Calibri" w:hAnsi="Calibri"/>
          <w:b w:val="false"/>
          <w:bCs w:val="false"/>
          <w:i w:val="false"/>
          <w:iCs w:val="false"/>
          <w:sz w:val="22"/>
          <w:szCs w:val="22"/>
        </w:rPr>
        <w:t xml:space="preserve">A concise 3-4 sentence summary, 3-5 key findings or contributions, 5 important keywords, the paper's main research gap or limitation, and a brief explanation of the paper's likely usefulness to a researcher.</w:t>
      </w:r>
    </w:p>
    <w:p>
      <w:pPr>
        <w:pStyle w:val="Heading2"/>
        <w:spacing w:after="160" w:before="280"/>
      </w:pPr>
      <w:r>
        <w:rPr>
          <w:rFonts w:ascii="Calibri" w:cs="Calibri" w:eastAsia="Calibri" w:hAnsi="Calibri"/>
          <w:b/>
          <w:bCs/>
          <w:color w:val="2E5395"/>
          <w:sz w:val="26"/>
          <w:szCs w:val="26"/>
        </w:rPr>
        <w:t xml:space="preserve">15.2 Prompt 2 — Relevance Scoring (Workflow 2, Basic LLM Chain)</w:t>
      </w:r>
    </w:p>
    <w:p>
      <w:pPr>
        <w:pStyle w:val="Heading3"/>
        <w:spacing w:after="120" w:before="220"/>
      </w:pPr>
      <w:r>
        <w:rPr>
          <w:rFonts w:ascii="Calibri" w:cs="Calibri" w:eastAsia="Calibri" w:hAnsi="Calibri"/>
          <w:b/>
          <w:bCs/>
          <w:color w:val="44546A"/>
          <w:sz w:val="23"/>
          <w:szCs w:val="23"/>
        </w:rPr>
        <w:t xml:space="preserve">Role</w:t>
      </w:r>
    </w:p>
    <w:p>
      <w:pPr>
        <w:spacing w:after="160" w:line="276"/>
        <w:jc w:val="both"/>
      </w:pPr>
      <w:r>
        <w:rPr>
          <w:rFonts w:ascii="Calibri" w:cs="Calibri" w:eastAsia="Calibri" w:hAnsi="Calibri"/>
          <w:b w:val="false"/>
          <w:bCs w:val="false"/>
          <w:i w:val="false"/>
          <w:iCs w:val="false"/>
          <w:sz w:val="22"/>
          <w:szCs w:val="22"/>
        </w:rPr>
        <w:t xml:space="preserve">The model is instructed to act as an "AI Research Paper Recommendation Assistant" evaluating how relevant a candidate paper is to a stated research topic.</w:t>
      </w:r>
    </w:p>
    <w:p>
      <w:pPr>
        <w:pStyle w:val="Heading3"/>
        <w:spacing w:after="120" w:before="220"/>
      </w:pPr>
      <w:r>
        <w:rPr>
          <w:rFonts w:ascii="Calibri" w:cs="Calibri" w:eastAsia="Calibri" w:hAnsi="Calibri"/>
          <w:b/>
          <w:bCs/>
          <w:color w:val="44546A"/>
          <w:sz w:val="23"/>
          <w:szCs w:val="23"/>
        </w:rPr>
        <w:t xml:space="preserve">Instructions</w:t>
      </w:r>
    </w:p>
    <w:p>
      <w:pPr>
        <w:spacing w:after="160" w:line="276"/>
        <w:jc w:val="both"/>
      </w:pPr>
      <w:r>
        <w:rPr>
          <w:rFonts w:ascii="Calibri" w:cs="Calibri" w:eastAsia="Calibri" w:hAnsi="Calibri"/>
          <w:b w:val="false"/>
          <w:bCs w:val="false"/>
          <w:i w:val="false"/>
          <w:iCs w:val="false"/>
          <w:sz w:val="22"/>
          <w:szCs w:val="22"/>
        </w:rPr>
        <w:t xml:space="preserve">The model receives the Research Topic together with the candidate paper's Title, Authors and Published Date, and is asked to judge topical fit.</w:t>
      </w:r>
    </w:p>
    <w:p>
      <w:pPr>
        <w:pStyle w:val="Heading3"/>
        <w:spacing w:after="120" w:before="220"/>
      </w:pPr>
      <w:r>
        <w:rPr>
          <w:rFonts w:ascii="Calibri" w:cs="Calibri" w:eastAsia="Calibri" w:hAnsi="Calibri"/>
          <w:b/>
          <w:bCs/>
          <w:color w:val="44546A"/>
          <w:sz w:val="23"/>
          <w:szCs w:val="23"/>
        </w:rPr>
        <w:t xml:space="preserve">Output Format</w:t>
      </w:r>
    </w:p>
    <w:p>
      <w:pPr>
        <w:spacing w:after="160" w:line="276"/>
        <w:jc w:val="both"/>
      </w:pPr>
      <w:r>
        <w:rPr>
          <w:rFonts w:ascii="Calibri" w:cs="Calibri" w:eastAsia="Calibri" w:hAnsi="Calibri"/>
          <w:b w:val="false"/>
          <w:bCs w:val="false"/>
          <w:i w:val="false"/>
          <w:iCs w:val="false"/>
          <w:sz w:val="22"/>
          <w:szCs w:val="22"/>
        </w:rPr>
        <w:t xml:space="preserve">A numeric Relevance Score from 0 to 100, a categorical Recommendation Level (Highly Recommended, Recommended, or Low Relevance), a Recommendation Reason, and a description of the paper's Potential Use.</w:t>
      </w:r>
    </w:p>
    <w:p>
      <w:pPr>
        <w:pStyle w:val="Heading2"/>
        <w:spacing w:after="160" w:before="280"/>
      </w:pPr>
      <w:r>
        <w:rPr>
          <w:rFonts w:ascii="Calibri" w:cs="Calibri" w:eastAsia="Calibri" w:hAnsi="Calibri"/>
          <w:b/>
          <w:bCs/>
          <w:color w:val="2E5395"/>
          <w:sz w:val="26"/>
          <w:szCs w:val="26"/>
        </w:rPr>
        <w:t xml:space="preserve">15.3 Prompt 3 — Cross-Paper Insight Synthesis (Workflow 3, Basic LLM Chain)</w:t>
      </w:r>
    </w:p>
    <w:p>
      <w:pPr>
        <w:pStyle w:val="Heading3"/>
        <w:spacing w:after="120" w:before="220"/>
      </w:pPr>
      <w:r>
        <w:rPr>
          <w:rFonts w:ascii="Calibri" w:cs="Calibri" w:eastAsia="Calibri" w:hAnsi="Calibri"/>
          <w:b/>
          <w:bCs/>
          <w:color w:val="44546A"/>
          <w:sz w:val="23"/>
          <w:szCs w:val="23"/>
        </w:rPr>
        <w:t xml:space="preserve">Role</w:t>
      </w:r>
    </w:p>
    <w:p>
      <w:pPr>
        <w:spacing w:after="160" w:line="276"/>
        <w:jc w:val="both"/>
      </w:pPr>
      <w:r>
        <w:rPr>
          <w:rFonts w:ascii="Calibri" w:cs="Calibri" w:eastAsia="Calibri" w:hAnsi="Calibri"/>
          <w:b w:val="false"/>
          <w:bCs w:val="false"/>
          <w:i w:val="false"/>
          <w:iCs w:val="false"/>
          <w:sz w:val="22"/>
          <w:szCs w:val="22"/>
        </w:rPr>
        <w:t xml:space="preserve">The model is instructed to act as an "AI Research Insight Generator" analysing a full set of previously processed papers together, rather than one paper at a time.</w:t>
      </w:r>
    </w:p>
    <w:p>
      <w:pPr>
        <w:pStyle w:val="Heading3"/>
        <w:spacing w:after="120" w:before="220"/>
      </w:pPr>
      <w:r>
        <w:rPr>
          <w:rFonts w:ascii="Calibri" w:cs="Calibri" w:eastAsia="Calibri" w:hAnsi="Calibri"/>
          <w:b/>
          <w:bCs/>
          <w:color w:val="44546A"/>
          <w:sz w:val="23"/>
          <w:szCs w:val="23"/>
        </w:rPr>
        <w:t xml:space="preserve">Instructions</w:t>
      </w:r>
    </w:p>
    <w:p>
      <w:pPr>
        <w:spacing w:after="160" w:line="276"/>
        <w:jc w:val="both"/>
      </w:pPr>
      <w:r>
        <w:rPr>
          <w:rFonts w:ascii="Calibri" w:cs="Calibri" w:eastAsia="Calibri" w:hAnsi="Calibri"/>
          <w:b w:val="false"/>
          <w:bCs w:val="false"/>
          <w:i w:val="false"/>
          <w:iCs w:val="false"/>
          <w:sz w:val="22"/>
          <w:szCs w:val="22"/>
        </w:rPr>
        <w:t xml:space="preserve">The model receives the Research Topic, the Research Goal, and the complete Paper Data (the JSON-serialised set of every analysed paper) and is asked to reason across all of them collectively.</w:t>
      </w:r>
    </w:p>
    <w:p>
      <w:pPr>
        <w:pStyle w:val="Heading3"/>
        <w:spacing w:after="120" w:before="220"/>
      </w:pPr>
      <w:r>
        <w:rPr>
          <w:rFonts w:ascii="Calibri" w:cs="Calibri" w:eastAsia="Calibri" w:hAnsi="Calibri"/>
          <w:b/>
          <w:bCs/>
          <w:color w:val="44546A"/>
          <w:sz w:val="23"/>
          <w:szCs w:val="23"/>
        </w:rPr>
        <w:t xml:space="preserve">Output Format</w:t>
      </w:r>
    </w:p>
    <w:p>
      <w:pPr>
        <w:spacing w:after="160" w:line="276"/>
        <w:jc w:val="both"/>
      </w:pPr>
      <w:r>
        <w:rPr>
          <w:rFonts w:ascii="Calibri" w:cs="Calibri" w:eastAsia="Calibri" w:hAnsi="Calibri"/>
          <w:b w:val="false"/>
          <w:bCs w:val="false"/>
          <w:i w:val="false"/>
          <w:iCs w:val="false"/>
          <w:sz w:val="22"/>
          <w:szCs w:val="22"/>
        </w:rPr>
        <w:t xml:space="preserve">A six-section structured analysis: Key Themes, Research Trends, Research Gaps, Cross-Paper Insights, Future Research Directions, and a Research Recommendation tied explicitly to the stated Research Goal.</w:t>
      </w:r>
    </w:p>
    <w:p>
      <w:pPr>
        <w:pStyle w:val="Heading2"/>
        <w:spacing w:after="160" w:before="280"/>
      </w:pPr>
      <w:r>
        <w:rPr>
          <w:rFonts w:ascii="Calibri" w:cs="Calibri" w:eastAsia="Calibri" w:hAnsi="Calibri"/>
          <w:b/>
          <w:bCs/>
          <w:color w:val="2E5395"/>
          <w:sz w:val="26"/>
          <w:szCs w:val="26"/>
        </w:rPr>
        <w:t xml:space="preserve">15.4 Prompt 4 — Final Report Compilation (Workflow 1, Basic LLM Chain1)</w:t>
      </w:r>
    </w:p>
    <w:p>
      <w:pPr>
        <w:pStyle w:val="Heading3"/>
        <w:spacing w:after="120" w:before="220"/>
      </w:pPr>
      <w:r>
        <w:rPr>
          <w:rFonts w:ascii="Calibri" w:cs="Calibri" w:eastAsia="Calibri" w:hAnsi="Calibri"/>
          <w:b/>
          <w:bCs/>
          <w:color w:val="44546A"/>
          <w:sz w:val="23"/>
          <w:szCs w:val="23"/>
        </w:rPr>
        <w:t xml:space="preserve">Role</w:t>
      </w:r>
    </w:p>
    <w:p>
      <w:pPr>
        <w:spacing w:after="160" w:line="276"/>
        <w:jc w:val="both"/>
      </w:pPr>
      <w:r>
        <w:rPr>
          <w:rFonts w:ascii="Calibri" w:cs="Calibri" w:eastAsia="Calibri" w:hAnsi="Calibri"/>
          <w:b w:val="false"/>
          <w:bCs w:val="false"/>
          <w:i w:val="false"/>
          <w:iCs w:val="false"/>
          <w:sz w:val="22"/>
          <w:szCs w:val="22"/>
        </w:rPr>
        <w:t xml:space="preserve">The model is asked to act as the compiler of a "professional final research report", building on the already-synthesised insights rather than raw paper data.</w:t>
      </w:r>
    </w:p>
    <w:p>
      <w:pPr>
        <w:pStyle w:val="Heading3"/>
        <w:spacing w:after="120" w:before="220"/>
      </w:pPr>
      <w:r>
        <w:rPr>
          <w:rFonts w:ascii="Calibri" w:cs="Calibri" w:eastAsia="Calibri" w:hAnsi="Calibri"/>
          <w:b/>
          <w:bCs/>
          <w:color w:val="44546A"/>
          <w:sz w:val="23"/>
          <w:szCs w:val="23"/>
        </w:rPr>
        <w:t xml:space="preserve">Instructions</w:t>
      </w:r>
    </w:p>
    <w:p>
      <w:pPr>
        <w:spacing w:after="160" w:line="276"/>
        <w:jc w:val="both"/>
      </w:pPr>
      <w:r>
        <w:rPr>
          <w:rFonts w:ascii="Calibri" w:cs="Calibri" w:eastAsia="Calibri" w:hAnsi="Calibri"/>
          <w:b w:val="false"/>
          <w:bCs w:val="false"/>
          <w:i w:val="false"/>
          <w:iCs w:val="false"/>
          <w:sz w:val="22"/>
          <w:szCs w:val="22"/>
        </w:rPr>
        <w:t xml:space="preserve">The model receives the Research Topic, the Research Goal, and the Research Insights text returned from Workflow 3.</w:t>
      </w:r>
    </w:p>
    <w:p>
      <w:pPr>
        <w:pStyle w:val="Heading3"/>
        <w:spacing w:after="120" w:before="220"/>
      </w:pPr>
      <w:r>
        <w:rPr>
          <w:rFonts w:ascii="Calibri" w:cs="Calibri" w:eastAsia="Calibri" w:hAnsi="Calibri"/>
          <w:b/>
          <w:bCs/>
          <w:color w:val="44546A"/>
          <w:sz w:val="23"/>
          <w:szCs w:val="23"/>
        </w:rPr>
        <w:t xml:space="preserve">Output Format</w:t>
      </w:r>
    </w:p>
    <w:p>
      <w:pPr>
        <w:spacing w:after="160" w:line="276"/>
        <w:jc w:val="both"/>
      </w:pPr>
      <w:r>
        <w:rPr>
          <w:rFonts w:ascii="Calibri" w:cs="Calibri" w:eastAsia="Calibri" w:hAnsi="Calibri"/>
          <w:b w:val="false"/>
          <w:bCs w:val="false"/>
          <w:i w:val="false"/>
          <w:iCs w:val="false"/>
          <w:sz w:val="22"/>
          <w:szCs w:val="22"/>
        </w:rPr>
        <w:t xml:space="preserve">A seven-section academic report: Executive Summary, Key Research Themes, Major Findings, Research Gaps, Emerging Trends, Recommended Future Research Directions, and Conclusion.</w:t>
      </w:r>
    </w:p>
    <w:p>
      <w:pPr>
        <w:pStyle w:val="Heading2"/>
        <w:spacing w:after="160" w:before="280"/>
      </w:pPr>
      <w:r>
        <w:rPr>
          <w:rFonts w:ascii="Calibri" w:cs="Calibri" w:eastAsia="Calibri" w:hAnsi="Calibri"/>
          <w:b/>
          <w:bCs/>
          <w:color w:val="2E5395"/>
          <w:sz w:val="26"/>
          <w:szCs w:val="26"/>
        </w:rPr>
        <w:t xml:space="preserve">15.5 Why Prompt Engineering Is Important</w:t>
      </w:r>
    </w:p>
    <w:p>
      <w:pPr>
        <w:spacing w:after="160" w:line="276"/>
        <w:jc w:val="both"/>
      </w:pPr>
      <w:r>
        <w:rPr>
          <w:rFonts w:ascii="Calibri" w:cs="Calibri" w:eastAsia="Calibri" w:hAnsi="Calibri"/>
          <w:b w:val="false"/>
          <w:bCs w:val="false"/>
          <w:i w:val="false"/>
          <w:iCs w:val="false"/>
          <w:sz w:val="22"/>
          <w:szCs w:val="22"/>
        </w:rPr>
        <w:t xml:space="preserve">Because every analytical step in this system is delegated to a general-purpose language model rather than a task-specific algorithm, the quality, structure and factual reliability of every output depends directly on how precisely each prompt defines the model's role, restricts its input data, and specifies its expected output format. The consistent inclusion of an explicit anti-hallucination instruction across all four prompts — instructing the model not to invent information beyond what is supplied — is a deliberate design choice intended to keep the generated summaries, scores, insights and reports grounded strictly in the retrieved paper data rather than in the model's own generalised training knowledge.</w:t>
      </w:r>
    </w:p>
    <w:p>
      <w:r>
        <w:br w:type="page"/>
      </w:r>
    </w:p>
    <w:p>
      <w:pPr>
        <w:pStyle w:val="Heading1"/>
        <w:spacing w:after="200" w:before="360"/>
      </w:pPr>
      <w:r>
        <w:rPr>
          <w:rFonts w:ascii="Calibri" w:cs="Calibri" w:eastAsia="Calibri" w:hAnsi="Calibri"/>
          <w:b/>
          <w:bCs/>
          <w:color w:val="1F3864"/>
          <w:sz w:val="32"/>
          <w:szCs w:val="32"/>
        </w:rPr>
        <w:t xml:space="preserve">Workflow Interaction</w:t>
      </w:r>
    </w:p>
    <w:p>
      <w:pPr>
        <w:spacing w:after="160" w:line="276"/>
        <w:jc w:val="both"/>
      </w:pPr>
      <w:r>
        <w:rPr>
          <w:rFonts w:ascii="Calibri" w:cs="Calibri" w:eastAsia="Calibri" w:hAnsi="Calibri"/>
          <w:b w:val="false"/>
          <w:bCs w:val="false"/>
          <w:i w:val="false"/>
          <w:iCs w:val="false"/>
          <w:sz w:val="22"/>
          <w:szCs w:val="22"/>
        </w:rPr>
        <w:t xml:space="preserve">The three workflows in this project communicate exclusively through n8n's Execute Workflow node mechanism, whereby one workflow can invoke another by its workflow ID, pass a defined set of named input values, and optionally receive a returned data item back into its own execution.</w:t>
      </w:r>
    </w:p>
    <w:p>
      <w:pPr>
        <w:pStyle w:val="Heading2"/>
        <w:spacing w:after="160" w:before="280"/>
      </w:pPr>
      <w:r>
        <w:rPr>
          <w:rFonts w:ascii="Calibri" w:cs="Calibri" w:eastAsia="Calibri" w:hAnsi="Calibri"/>
          <w:b/>
          <w:bCs/>
          <w:color w:val="2E5395"/>
          <w:sz w:val="26"/>
          <w:szCs w:val="26"/>
        </w:rPr>
        <w:t xml:space="preserve">16.1 Workflow 1 to Workflow 2</w:t>
      </w:r>
    </w:p>
    <w:p>
      <w:pPr>
        <w:spacing w:after="160" w:line="276"/>
        <w:jc w:val="both"/>
      </w:pPr>
      <w:r>
        <w:rPr>
          <w:rFonts w:ascii="Calibri" w:cs="Calibri" w:eastAsia="Calibri" w:hAnsi="Calibri"/>
          <w:b w:val="false"/>
          <w:bCs w:val="false"/>
          <w:i w:val="false"/>
          <w:iCs w:val="false"/>
          <w:sz w:val="22"/>
          <w:szCs w:val="22"/>
        </w:rPr>
        <w:t xml:space="preserve">Workflow 1 invokes Workflow 2 through the "Call '02 - AI Related Paper Recommendation Engine'" Execute Workflow node, which is connected directly from the "On form submission" trigger. This means Workflow 2 begins executing in parallel with the arXiv discovery branch, rather than after it. Only one value is passed: Research Topic, mapped directly from the form submission. As noted in Section 12.7, the current export does not connect any node after this Execute Workflow node inside Workflow 1, so while Workflow 2 runs and produces its own relevance-scored output internally, that output is not currently routed into the Google Sheet or the final email in Workflow 1.</w:t>
      </w:r>
    </w:p>
    <w:p>
      <w:pPr>
        <w:pStyle w:val="Heading2"/>
        <w:spacing w:after="160" w:before="280"/>
      </w:pPr>
      <w:r>
        <w:rPr>
          <w:rFonts w:ascii="Calibri" w:cs="Calibri" w:eastAsia="Calibri" w:hAnsi="Calibri"/>
          <w:b/>
          <w:bCs/>
          <w:color w:val="2E5395"/>
          <w:sz w:val="26"/>
          <w:szCs w:val="26"/>
        </w:rPr>
        <w:t xml:space="preserve">16.2 Workflow 1 to Workflow 3</w:t>
      </w:r>
    </w:p>
    <w:p>
      <w:pPr>
        <w:spacing w:after="160" w:line="276"/>
        <w:jc w:val="both"/>
      </w:pPr>
      <w:r>
        <w:rPr>
          <w:rFonts w:ascii="Calibri" w:cs="Calibri" w:eastAsia="Calibri" w:hAnsi="Calibri"/>
          <w:b w:val="false"/>
          <w:bCs w:val="false"/>
          <w:i w:val="false"/>
          <w:iCs w:val="false"/>
          <w:sz w:val="22"/>
          <w:szCs w:val="22"/>
        </w:rPr>
        <w:t xml:space="preserve">Workflow 1 invokes Workflow 3 through the "Call '03 - Research Insight Generator'" Execute Workflow node, which is connected after the Aggregate node, and therefore only runs once every arXiv paper has been individually analysed by Basic LLM Chain and enriched by Edit Fields1. Three values are passed to Workflow 3: Research Topic and Research Goal (both mapped directly from the original form submission, referenced through the $('On form submission') expression syntax), and Paper Data, built using JSON.stringify($('Edit Fields1').all().map(item =&gt; item.json)), which serialises every analysed paper's complete metadata and AI Analysis text into a single JSON string. The value returned by Workflow 3 (Research Insights) is received into Workflow 1's Edit Fields2 node and used immediately afterwards by Basic LLM Chain1 to produce the final report.</w:t>
      </w:r>
    </w:p>
    <w:p>
      <w:pPr>
        <w:pStyle w:val="Heading2"/>
        <w:spacing w:after="160" w:before="280"/>
      </w:pPr>
      <w:r>
        <w:rPr>
          <w:rFonts w:ascii="Calibri" w:cs="Calibri" w:eastAsia="Calibri" w:hAnsi="Calibri"/>
          <w:b/>
          <w:bCs/>
          <w:color w:val="2E5395"/>
          <w:sz w:val="26"/>
          <w:szCs w:val="26"/>
        </w:rPr>
        <w:t xml:space="preserve">16.3 Execute Workflow Nodes</w:t>
      </w:r>
    </w:p>
    <w:p>
      <w:pPr>
        <w:spacing w:after="160" w:line="276"/>
        <w:jc w:val="both"/>
      </w:pPr>
      <w:r>
        <w:rPr>
          <w:rFonts w:ascii="Calibri" w:cs="Calibri" w:eastAsia="Calibri" w:hAnsi="Calibri"/>
          <w:b w:val="false"/>
          <w:bCs w:val="false"/>
          <w:i w:val="false"/>
          <w:iCs w:val="false"/>
          <w:sz w:val="22"/>
          <w:szCs w:val="22"/>
        </w:rPr>
        <w:t xml:space="preserve">Both Workflow 2 and Workflow 3 begin with an "Execute Workflow Trigger" node (n8n-nodes-base.executeWorkflowTrigger) rather than a Form Trigger or Webhook Trigger, which is what allows them to be called as sub-workflows and prevents them from being triggered directly outside of this calling context. Correspondingly, Workflow 1 uses two "Execute Workflow" nodes (n8n-nodes-base.executeWorkflow) configured with the specific workflowId of Workflow 2 and Workflow 3 respectively, together with a defined mapping of which named values to pass as inputs.</w:t>
      </w:r>
    </w:p>
    <w:p>
      <w:pPr>
        <w:pStyle w:val="Heading2"/>
        <w:spacing w:after="160" w:before="280"/>
      </w:pPr>
      <w:r>
        <w:rPr>
          <w:rFonts w:ascii="Calibri" w:cs="Calibri" w:eastAsia="Calibri" w:hAnsi="Calibri"/>
          <w:b/>
          <w:bCs/>
          <w:color w:val="2E5395"/>
          <w:sz w:val="26"/>
          <w:szCs w:val="26"/>
        </w:rPr>
        <w:t xml:space="preserve">16.4 The Aggregate Node</w:t>
      </w:r>
    </w:p>
    <w:p>
      <w:pPr>
        <w:spacing w:after="160" w:line="276"/>
        <w:jc w:val="both"/>
      </w:pPr>
      <w:r>
        <w:rPr>
          <w:rFonts w:ascii="Calibri" w:cs="Calibri" w:eastAsia="Calibri" w:hAnsi="Calibri"/>
          <w:b w:val="false"/>
          <w:bCs w:val="false"/>
          <w:i w:val="false"/>
          <w:iCs w:val="false"/>
          <w:sz w:val="22"/>
          <w:szCs w:val="22"/>
        </w:rPr>
        <w:t xml:space="preserve">The Aggregate node in Workflow 1 plays a necessary structural role in this interaction. Because the arXiv discovery branch processes one item per paper all the way through Basic LLM Chain and Edit Fields1, there are multiple separate n8n items in flight by the time all papers have been analysed. The Aggregate node, configured with aggregateAllItemData, combines all of these separate items back into a single item under a papers field, which is what allows the subsequent JSON.stringify expression in the Call '03...' node to serialise the entire paper set in one pass rather than triggering Workflow 3 once per individual paper.</w:t>
      </w:r>
    </w:p>
    <w:p>
      <w:pPr>
        <w:pStyle w:val="Heading2"/>
        <w:spacing w:after="160" w:before="280"/>
      </w:pPr>
      <w:r>
        <w:rPr>
          <w:rFonts w:ascii="Calibri" w:cs="Calibri" w:eastAsia="Calibri" w:hAnsi="Calibri"/>
          <w:b/>
          <w:bCs/>
          <w:color w:val="2E5395"/>
          <w:sz w:val="26"/>
          <w:szCs w:val="26"/>
        </w:rPr>
        <w:t xml:space="preserve">16.5 JSON Passing Between Workflows</w:t>
      </w:r>
    </w:p>
    <w:p>
      <w:pPr>
        <w:spacing w:after="160" w:line="276"/>
        <w:jc w:val="both"/>
      </w:pPr>
      <w:r>
        <w:rPr>
          <w:rFonts w:ascii="Calibri" w:cs="Calibri" w:eastAsia="Calibri" w:hAnsi="Calibri"/>
          <w:b w:val="false"/>
          <w:bCs w:val="false"/>
          <w:i w:val="false"/>
          <w:iCs w:val="false"/>
          <w:sz w:val="22"/>
          <w:szCs w:val="22"/>
        </w:rPr>
        <w:t xml:space="preserve">All data passed between workflows in this project is exchanged as either plain strings (Research Topic, Research Goal) or as a single JSON-encoded string (Paper Data), rather than as a native nested object. This is a deliberate consequence of how n8n's Execute Workflow input mapping is configured (with convertFieldsToString set to true on the relevant nodes), and it means that the receiving workflow, Workflow 3, accesses the incoming Paper Data as a raw JSON string within its prompt template rather than as a structured object with individually addressable fields.</w:t>
      </w:r>
    </w:p>
    <w:p>
      <w:r>
        <w:br w:type="page"/>
      </w:r>
    </w:p>
    <w:p>
      <w:pPr>
        <w:pStyle w:val="Heading1"/>
        <w:spacing w:after="200" w:before="360"/>
      </w:pPr>
      <w:r>
        <w:rPr>
          <w:rFonts w:ascii="Calibri" w:cs="Calibri" w:eastAsia="Calibri" w:hAnsi="Calibri"/>
          <w:b/>
          <w:bCs/>
          <w:color w:val="1F3864"/>
          <w:sz w:val="32"/>
          <w:szCs w:val="32"/>
        </w:rPr>
        <w:t xml:space="preserve">System Features</w:t>
      </w:r>
    </w:p>
    <w:p>
      <w:pPr>
        <w:spacing w:after="160" w:line="276"/>
        <w:jc w:val="both"/>
      </w:pPr>
      <w:r>
        <w:rPr>
          <w:rFonts w:ascii="Calibri" w:cs="Calibri" w:eastAsia="Calibri" w:hAnsi="Calibri"/>
          <w:b w:val="false"/>
          <w:bCs w:val="false"/>
          <w:i w:val="false"/>
          <w:iCs w:val="false"/>
          <w:sz w:val="22"/>
          <w:szCs w:val="22"/>
        </w:rPr>
        <w:t xml:space="preserve">The following features summarise, at a glance, the capabilities documented in detail across the workflow descriptions in Sections 11 to 13.</w:t>
      </w:r>
    </w:p>
    <w:p>
      <w:pPr>
        <w:pStyle w:val="ListParagraph"/>
        <w:numPr>
          <w:ilvl w:val="0"/>
          <w:numId w:val="2"/>
        </w:numPr>
        <w:spacing w:after="100" w:line="276"/>
      </w:pPr>
      <w:r>
        <w:rPr>
          <w:rFonts w:ascii="Calibri" w:cs="Calibri" w:eastAsia="Calibri" w:hAnsi="Calibri"/>
          <w:sz w:val="22"/>
          <w:szCs w:val="22"/>
        </w:rPr>
        <w:t xml:space="preserve">Automated literature search: The system automatically queries both the arXiv API and the OpenAlex API based on a single user-supplied research topic, removing the need to manually search multiple databases.</w:t>
      </w:r>
    </w:p>
    <w:p>
      <w:pPr>
        <w:pStyle w:val="ListParagraph"/>
        <w:numPr>
          <w:ilvl w:val="0"/>
          <w:numId w:val="2"/>
        </w:numPr>
        <w:spacing w:after="100" w:line="276"/>
      </w:pPr>
      <w:r>
        <w:rPr>
          <w:rFonts w:ascii="Calibri" w:cs="Calibri" w:eastAsia="Calibri" w:hAnsi="Calibri"/>
          <w:sz w:val="22"/>
          <w:szCs w:val="22"/>
        </w:rPr>
        <w:t xml:space="preserve">Paper summarisation: Every discovered arXiv paper is automatically summarised by GPT-5 Mini into a concise summary, key findings, keywords and identified gaps.</w:t>
      </w:r>
    </w:p>
    <w:p>
      <w:pPr>
        <w:pStyle w:val="ListParagraph"/>
        <w:numPr>
          <w:ilvl w:val="0"/>
          <w:numId w:val="2"/>
        </w:numPr>
        <w:spacing w:after="100" w:line="276"/>
      </w:pPr>
      <w:r>
        <w:rPr>
          <w:rFonts w:ascii="Calibri" w:cs="Calibri" w:eastAsia="Calibri" w:hAnsi="Calibri"/>
          <w:sz w:val="22"/>
          <w:szCs w:val="22"/>
        </w:rPr>
        <w:t xml:space="preserve">Research recommendation: OpenAlex papers are automatically scored for topical relevance and assigned a recommendation level by a dedicated GPT-5 Mini prompt.</w:t>
      </w:r>
    </w:p>
    <w:p>
      <w:pPr>
        <w:pStyle w:val="ListParagraph"/>
        <w:numPr>
          <w:ilvl w:val="0"/>
          <w:numId w:val="2"/>
        </w:numPr>
        <w:spacing w:after="100" w:line="276"/>
      </w:pPr>
      <w:r>
        <w:rPr>
          <w:rFonts w:ascii="Calibri" w:cs="Calibri" w:eastAsia="Calibri" w:hAnsi="Calibri"/>
          <w:sz w:val="22"/>
          <w:szCs w:val="22"/>
        </w:rPr>
        <w:t xml:space="preserve">Research insights generation: The full set of analysed papers is synthesised into cross-paper themes, trends, gaps and future research directions, tied to the user's stated research goal.</w:t>
      </w:r>
    </w:p>
    <w:p>
      <w:pPr>
        <w:pStyle w:val="ListParagraph"/>
        <w:numPr>
          <w:ilvl w:val="0"/>
          <w:numId w:val="2"/>
        </w:numPr>
        <w:spacing w:after="100" w:line="276"/>
      </w:pPr>
      <w:r>
        <w:rPr>
          <w:rFonts w:ascii="Calibri" w:cs="Calibri" w:eastAsia="Calibri" w:hAnsi="Calibri"/>
          <w:sz w:val="22"/>
          <w:szCs w:val="22"/>
        </w:rPr>
        <w:t xml:space="preserve">Google Sheets integration: Every analysed arXiv paper, together with its AI analysis, is automatically appended to a persistent Google Sheets repository.</w:t>
      </w:r>
    </w:p>
    <w:p>
      <w:pPr>
        <w:pStyle w:val="ListParagraph"/>
        <w:numPr>
          <w:ilvl w:val="0"/>
          <w:numId w:val="2"/>
        </w:numPr>
        <w:spacing w:after="100" w:line="276"/>
      </w:pPr>
      <w:r>
        <w:rPr>
          <w:rFonts w:ascii="Calibri" w:cs="Calibri" w:eastAsia="Calibri" w:hAnsi="Calibri"/>
          <w:sz w:val="22"/>
          <w:szCs w:val="22"/>
        </w:rPr>
        <w:t xml:space="preserve">Email automation: A final, structured research report is automatically compiled and delivered to the user's email address through Gmail, without any manual compilation step.</w:t>
      </w:r>
    </w:p>
    <w:p>
      <w:pPr>
        <w:pStyle w:val="ListParagraph"/>
        <w:numPr>
          <w:ilvl w:val="0"/>
          <w:numId w:val="2"/>
        </w:numPr>
        <w:spacing w:after="100" w:line="276"/>
      </w:pPr>
      <w:r>
        <w:rPr>
          <w:rFonts w:ascii="Calibri" w:cs="Calibri" w:eastAsia="Calibri" w:hAnsi="Calibri"/>
          <w:sz w:val="22"/>
          <w:szCs w:val="22"/>
        </w:rPr>
        <w:t xml:space="preserve">Modular workflows: Paper discovery, recommendation scoring, and insight generation are implemented as three separate, independently callable n8n workflows connected through Execute Workflow nodes.</w:t>
      </w:r>
    </w:p>
    <w:p>
      <w:r>
        <w:br w:type="page"/>
      </w:r>
    </w:p>
    <w:p>
      <w:pPr>
        <w:pStyle w:val="Heading1"/>
        <w:spacing w:after="200" w:before="360"/>
      </w:pPr>
      <w:r>
        <w:rPr>
          <w:rFonts w:ascii="Calibri" w:cs="Calibri" w:eastAsia="Calibri" w:hAnsi="Calibri"/>
          <w:b/>
          <w:bCs/>
          <w:color w:val="1F3864"/>
          <w:sz w:val="32"/>
          <w:szCs w:val="32"/>
        </w:rPr>
        <w:t xml:space="preserve">Results</w:t>
      </w:r>
    </w:p>
    <w:p>
      <w:pPr>
        <w:spacing w:after="160" w:line="276"/>
        <w:jc w:val="both"/>
      </w:pPr>
      <w:r>
        <w:rPr>
          <w:rFonts w:ascii="Calibri" w:cs="Calibri" w:eastAsia="Calibri" w:hAnsi="Calibri"/>
          <w:b w:val="false"/>
          <w:bCs w:val="false"/>
          <w:i w:val="false"/>
          <w:iCs w:val="false"/>
          <w:sz w:val="22"/>
          <w:szCs w:val="22"/>
        </w:rPr>
        <w:t xml:space="preserve">Building on the features summarised in Section 17, this section presents the concrete outputs produced when the research request form is submitted with a research topic, optional keywords, a research goal, a chosen number of papers, and an email address.</w:t>
      </w:r>
    </w:p>
    <w:p>
      <w:pPr>
        <w:pStyle w:val="Heading2"/>
        <w:spacing w:after="160" w:before="280"/>
      </w:pPr>
      <w:r>
        <w:rPr>
          <w:rFonts w:ascii="Calibri" w:cs="Calibri" w:eastAsia="Calibri" w:hAnsi="Calibri"/>
          <w:b/>
          <w:bCs/>
          <w:color w:val="2E5395"/>
          <w:sz w:val="26"/>
          <w:szCs w:val="26"/>
        </w:rPr>
        <w:t xml:space="preserve">18.1 Google Sheets Output</w:t>
      </w:r>
    </w:p>
    <w:p>
      <w:pPr>
        <w:spacing w:after="160" w:line="276"/>
        <w:jc w:val="both"/>
      </w:pPr>
      <w:r>
        <w:rPr>
          <w:rFonts w:ascii="Calibri" w:cs="Calibri" w:eastAsia="Calibri" w:hAnsi="Calibri"/>
          <w:b w:val="false"/>
          <w:bCs w:val="false"/>
          <w:i w:val="false"/>
          <w:iCs w:val="false"/>
          <w:sz w:val="22"/>
          <w:szCs w:val="22"/>
        </w:rPr>
        <w:t xml:space="preserve">The "AI Research Assistant - Research Repository" spreadsheet accumulates one new row per analysed arXiv paper, containing the paper's Title, Abstract, Authors, Published Date, Paper URL, PDF URL, and the GPT-5 Mini generated AI Analysis text, as described in Section 11.5.9.</w:t>
      </w:r>
    </w:p>
    <w:p>
      <w:pPr>
        <w:spacing w:after="80" w:before="160"/>
        <w:jc w:val="center"/>
      </w:pPr>
      <w:r>
        <w:rPr>
          <w:rFonts w:ascii="Calibri" w:cs="Calibri" w:eastAsia="Calibri" w:hAnsi="Calibri"/>
          <w:b/>
          <w:bCs/>
          <w:color w:val="1F3864"/>
          <w:sz w:val="22"/>
          <w:szCs w:val="22"/>
        </w:rPr>
        <w:t xml:space="preserve">Figure 18.1: Google Sheets Output</w:t>
      </w:r>
    </w:p>
    <w:p>
      <w:pPr>
        <w:pBdr>
          <w:top w:val="single" w:color="999999" w:sz="4"/>
          <w:bottom w:val="single" w:color="999999" w:sz="4"/>
          <w:left w:val="single" w:color="999999" w:sz="4"/>
          <w:right w:val="single" w:color="999999" w:sz="4"/>
        </w:pBdr>
        <w:shd w:fill="F2F2F2" w:val="clear"/>
        <w:spacing w:after="120"/>
        <w:jc w:val="center"/>
      </w:pPr>
      <w:r>
        <w:rPr>
          <w:rFonts w:ascii="Calibri" w:cs="Calibri" w:eastAsia="Calibri" w:hAnsi="Calibri"/>
          <w:i/>
          <w:iCs/>
          <w:color w:val="595959"/>
          <w:sz w:val="22"/>
          <w:szCs w:val="22"/>
        </w:rPr>
        <w:t xml:space="preserve">[Insert Google Sheets Output]</w:t>
      </w:r>
    </w:p>
    <w:p>
      <w:pPr>
        <w:spacing w:after="200" w:line="276"/>
        <w:jc w:val="both"/>
      </w:pPr>
      <w:r>
        <w:rPr>
          <w:rFonts w:ascii="Calibri" w:cs="Calibri" w:eastAsia="Calibri" w:hAnsi="Calibri"/>
          <w:i/>
          <w:iCs/>
          <w:color w:val="404040"/>
          <w:sz w:val="22"/>
          <w:szCs w:val="22"/>
        </w:rPr>
        <w:t xml:space="preserve">This figure shows the Google Sheets repository after several executions, with one appended row per analysed arXiv paper as described in Section 11.5.9.</w:t>
      </w:r>
    </w:p>
    <w:p>
      <w:pPr>
        <w:pStyle w:val="Heading2"/>
        <w:spacing w:after="160" w:before="280"/>
      </w:pPr>
      <w:r>
        <w:rPr>
          <w:rFonts w:ascii="Calibri" w:cs="Calibri" w:eastAsia="Calibri" w:hAnsi="Calibri"/>
          <w:b/>
          <w:bCs/>
          <w:color w:val="2E5395"/>
          <w:sz w:val="26"/>
          <w:szCs w:val="26"/>
        </w:rPr>
        <w:t xml:space="preserve">18.2 Email Output</w:t>
      </w:r>
    </w:p>
    <w:p>
      <w:pPr>
        <w:spacing w:after="160" w:line="276"/>
        <w:jc w:val="both"/>
      </w:pPr>
      <w:r>
        <w:rPr>
          <w:rFonts w:ascii="Calibri" w:cs="Calibri" w:eastAsia="Calibri" w:hAnsi="Calibri"/>
          <w:b w:val="false"/>
          <w:bCs w:val="false"/>
          <w:i w:val="false"/>
          <w:iCs w:val="false"/>
          <w:sz w:val="22"/>
          <w:szCs w:val="22"/>
        </w:rPr>
        <w:t xml:space="preserve">The user receives an HTML-formatted email in their inbox, with a subject line referencing the research topic, and a body containing the research topic, the research goal, and the full seven-section research report generated by Basic LLM Chain1, as described in Section 11.5.16.</w:t>
      </w:r>
    </w:p>
    <w:p>
      <w:pPr>
        <w:spacing w:after="80" w:before="160"/>
        <w:jc w:val="center"/>
      </w:pPr>
      <w:r>
        <w:rPr>
          <w:rFonts w:ascii="Calibri" w:cs="Calibri" w:eastAsia="Calibri" w:hAnsi="Calibri"/>
          <w:b/>
          <w:bCs/>
          <w:color w:val="1F3864"/>
          <w:sz w:val="22"/>
          <w:szCs w:val="22"/>
        </w:rPr>
        <w:t xml:space="preserve">Figure 18.2: Email Output</w:t>
      </w:r>
    </w:p>
    <w:p>
      <w:pPr>
        <w:pBdr>
          <w:top w:val="single" w:color="999999" w:sz="4"/>
          <w:bottom w:val="single" w:color="999999" w:sz="4"/>
          <w:left w:val="single" w:color="999999" w:sz="4"/>
          <w:right w:val="single" w:color="999999" w:sz="4"/>
        </w:pBdr>
        <w:shd w:fill="F2F2F2" w:val="clear"/>
        <w:spacing w:after="120"/>
        <w:jc w:val="center"/>
      </w:pPr>
      <w:r>
        <w:rPr>
          <w:rFonts w:ascii="Calibri" w:cs="Calibri" w:eastAsia="Calibri" w:hAnsi="Calibri"/>
          <w:i/>
          <w:iCs/>
          <w:color w:val="595959"/>
          <w:sz w:val="22"/>
          <w:szCs w:val="22"/>
        </w:rPr>
        <w:t xml:space="preserve">[Insert Email Output]</w:t>
      </w:r>
    </w:p>
    <w:p>
      <w:pPr>
        <w:spacing w:after="200" w:line="276"/>
        <w:jc w:val="both"/>
      </w:pPr>
      <w:r>
        <w:rPr>
          <w:rFonts w:ascii="Calibri" w:cs="Calibri" w:eastAsia="Calibri" w:hAnsi="Calibri"/>
          <w:i/>
          <w:iCs/>
          <w:color w:val="404040"/>
          <w:sz w:val="22"/>
          <w:szCs w:val="22"/>
        </w:rPr>
        <w:t xml:space="preserve">This figure shows the research report email received by the user, including the subject line, the research topic and goal, and the seven-section report body.</w:t>
      </w:r>
    </w:p>
    <w:p>
      <w:pPr>
        <w:pStyle w:val="Heading2"/>
        <w:spacing w:after="160" w:before="280"/>
      </w:pPr>
      <w:r>
        <w:rPr>
          <w:rFonts w:ascii="Calibri" w:cs="Calibri" w:eastAsia="Calibri" w:hAnsi="Calibri"/>
          <w:b/>
          <w:bCs/>
          <w:color w:val="2E5395"/>
          <w:sz w:val="26"/>
          <w:szCs w:val="26"/>
        </w:rPr>
        <w:t xml:space="preserve">18.3 Research Insights</w:t>
      </w:r>
    </w:p>
    <w:p>
      <w:pPr>
        <w:spacing w:after="160" w:line="276"/>
        <w:jc w:val="both"/>
      </w:pPr>
      <w:r>
        <w:rPr>
          <w:rFonts w:ascii="Calibri" w:cs="Calibri" w:eastAsia="Calibri" w:hAnsi="Calibri"/>
          <w:b w:val="false"/>
          <w:bCs w:val="false"/>
          <w:i w:val="false"/>
          <w:iCs w:val="false"/>
          <w:sz w:val="22"/>
          <w:szCs w:val="22"/>
        </w:rPr>
        <w:t xml:space="preserve">Internally, Workflow 3 produces a structured, six-section Research Insights document (Key Themes, Research Trends, Research Gaps, Cross-Paper Insights, Future Research Directions, Research Recommendation) which feeds directly into the report shown in Figure 18.2, as described in Section 13.5.2.</w:t>
      </w:r>
    </w:p>
    <w:p>
      <w:pPr>
        <w:pStyle w:val="Heading2"/>
        <w:spacing w:after="160" w:before="280"/>
      </w:pPr>
      <w:r>
        <w:rPr>
          <w:rFonts w:ascii="Calibri" w:cs="Calibri" w:eastAsia="Calibri" w:hAnsi="Calibri"/>
          <w:b/>
          <w:bCs/>
          <w:color w:val="2E5395"/>
          <w:sz w:val="26"/>
          <w:szCs w:val="26"/>
        </w:rPr>
        <w:t xml:space="preserve">18.4 Workflow Execution</w:t>
      </w:r>
    </w:p>
    <w:p>
      <w:pPr>
        <w:spacing w:after="160" w:line="276"/>
        <w:jc w:val="both"/>
      </w:pPr>
      <w:r>
        <w:rPr>
          <w:rFonts w:ascii="Calibri" w:cs="Calibri" w:eastAsia="Calibri" w:hAnsi="Calibri"/>
          <w:b w:val="false"/>
          <w:bCs w:val="false"/>
          <w:i w:val="false"/>
          <w:iCs w:val="false"/>
          <w:sz w:val="22"/>
          <w:szCs w:val="22"/>
        </w:rPr>
        <w:t xml:space="preserve">Each of the three workflows produces its own execution record inside the n8n editor, showing the data passed through every node, the exact prompt sent to GPT-5 Mini, and the model's raw response, which is useful both for verifying correctness and for debugging failed executions.</w:t>
      </w:r>
    </w:p>
    <w:p>
      <w:pPr>
        <w:spacing w:after="80" w:before="160"/>
        <w:jc w:val="center"/>
      </w:pPr>
      <w:r>
        <w:rPr>
          <w:rFonts w:ascii="Calibri" w:cs="Calibri" w:eastAsia="Calibri" w:hAnsi="Calibri"/>
          <w:b/>
          <w:bCs/>
          <w:color w:val="1F3864"/>
          <w:sz w:val="22"/>
          <w:szCs w:val="22"/>
        </w:rPr>
        <w:t xml:space="preserve">Figure 18.3: Workflow Execution</w:t>
      </w:r>
    </w:p>
    <w:p>
      <w:pPr>
        <w:pBdr>
          <w:top w:val="single" w:color="999999" w:sz="4"/>
          <w:bottom w:val="single" w:color="999999" w:sz="4"/>
          <w:left w:val="single" w:color="999999" w:sz="4"/>
          <w:right w:val="single" w:color="999999" w:sz="4"/>
        </w:pBdr>
        <w:shd w:fill="F2F2F2" w:val="clear"/>
        <w:spacing w:after="120"/>
        <w:jc w:val="center"/>
      </w:pPr>
      <w:r>
        <w:rPr>
          <w:rFonts w:ascii="Calibri" w:cs="Calibri" w:eastAsia="Calibri" w:hAnsi="Calibri"/>
          <w:i/>
          <w:iCs/>
          <w:color w:val="595959"/>
          <w:sz w:val="22"/>
          <w:szCs w:val="22"/>
        </w:rPr>
        <w:t xml:space="preserve">[Insert Workflow Execution]</w:t>
      </w:r>
    </w:p>
    <w:p>
      <w:pPr>
        <w:spacing w:after="200" w:line="276"/>
        <w:jc w:val="both"/>
      </w:pPr>
      <w:r>
        <w:rPr>
          <w:rFonts w:ascii="Calibri" w:cs="Calibri" w:eastAsia="Calibri" w:hAnsi="Calibri"/>
          <w:i/>
          <w:iCs/>
          <w:color w:val="404040"/>
          <w:sz w:val="22"/>
          <w:szCs w:val="22"/>
        </w:rPr>
        <w:t xml:space="preserve">This figure shows the n8n execution log for a complete end-to-end run across all three workflows, confirming the data flow described in Section 9.1.</w:t>
      </w:r>
    </w:p>
    <w:p>
      <w:r>
        <w:br w:type="page"/>
      </w:r>
    </w:p>
    <w:p>
      <w:pPr>
        <w:pStyle w:val="Heading1"/>
        <w:spacing w:after="200" w:before="360"/>
      </w:pPr>
      <w:r>
        <w:rPr>
          <w:rFonts w:ascii="Calibri" w:cs="Calibri" w:eastAsia="Calibri" w:hAnsi="Calibri"/>
          <w:b/>
          <w:bCs/>
          <w:color w:val="1F3864"/>
          <w:sz w:val="32"/>
          <w:szCs w:val="32"/>
        </w:rPr>
        <w:t xml:space="preserve">Advantages</w:t>
      </w:r>
    </w:p>
    <w:p>
      <w:pPr>
        <w:spacing w:after="160" w:line="276"/>
        <w:jc w:val="both"/>
      </w:pPr>
      <w:r>
        <w:rPr>
          <w:rFonts w:ascii="Calibri" w:cs="Calibri" w:eastAsia="Calibri" w:hAnsi="Calibri"/>
          <w:b w:val="false"/>
          <w:bCs w:val="false"/>
          <w:i w:val="false"/>
          <w:iCs w:val="false"/>
          <w:sz w:val="22"/>
          <w:szCs w:val="22"/>
        </w:rPr>
        <w:t xml:space="preserve">The results presented in Section 18 translate into the following practical advantages over the manual process described in Section 6.</w:t>
      </w:r>
    </w:p>
    <w:p>
      <w:pPr>
        <w:pStyle w:val="ListParagraph"/>
        <w:numPr>
          <w:ilvl w:val="0"/>
          <w:numId w:val="2"/>
        </w:numPr>
        <w:spacing w:after="100" w:line="276"/>
      </w:pPr>
      <w:r>
        <w:rPr>
          <w:rFonts w:ascii="Calibri" w:cs="Calibri" w:eastAsia="Calibri" w:hAnsi="Calibri"/>
          <w:sz w:val="22"/>
          <w:szCs w:val="22"/>
        </w:rPr>
        <w:t xml:space="preserve">Fully automated, end-to-end pipeline from a single form submission to a delivered email report, with no manual steps in between.</w:t>
      </w:r>
    </w:p>
    <w:p>
      <w:pPr>
        <w:pStyle w:val="ListParagraph"/>
        <w:numPr>
          <w:ilvl w:val="0"/>
          <w:numId w:val="2"/>
        </w:numPr>
        <w:spacing w:after="100" w:line="276"/>
      </w:pPr>
      <w:r>
        <w:rPr>
          <w:rFonts w:ascii="Calibri" w:cs="Calibri" w:eastAsia="Calibri" w:hAnsi="Calibri"/>
          <w:sz w:val="22"/>
          <w:szCs w:val="22"/>
        </w:rPr>
        <w:t xml:space="preserve">Modular architecture, where paper discovery, recommendation scoring, and insight synthesis are handled by three separate, independently reusable workflows.</w:t>
      </w:r>
    </w:p>
    <w:p>
      <w:pPr>
        <w:pStyle w:val="ListParagraph"/>
        <w:numPr>
          <w:ilvl w:val="0"/>
          <w:numId w:val="2"/>
        </w:numPr>
        <w:spacing w:after="100" w:line="276"/>
      </w:pPr>
      <w:r>
        <w:rPr>
          <w:rFonts w:ascii="Calibri" w:cs="Calibri" w:eastAsia="Calibri" w:hAnsi="Calibri"/>
          <w:sz w:val="22"/>
          <w:szCs w:val="22"/>
        </w:rPr>
        <w:t xml:space="preserve">Dual-source literature coverage, combining arXiv preprints with the broader, multidisciplinary OpenAlex index.</w:t>
      </w:r>
    </w:p>
    <w:p>
      <w:pPr>
        <w:pStyle w:val="ListParagraph"/>
        <w:numPr>
          <w:ilvl w:val="0"/>
          <w:numId w:val="2"/>
        </w:numPr>
        <w:spacing w:after="100" w:line="276"/>
      </w:pPr>
      <w:r>
        <w:rPr>
          <w:rFonts w:ascii="Calibri" w:cs="Calibri" w:eastAsia="Calibri" w:hAnsi="Calibri"/>
          <w:sz w:val="22"/>
          <w:szCs w:val="22"/>
        </w:rPr>
        <w:t xml:space="preserve">Consistent, structured AI analysis applied uniformly to every paper, rather than relying on the researcher's own note-taking habits.</w:t>
      </w:r>
    </w:p>
    <w:p>
      <w:pPr>
        <w:pStyle w:val="ListParagraph"/>
        <w:numPr>
          <w:ilvl w:val="0"/>
          <w:numId w:val="2"/>
        </w:numPr>
        <w:spacing w:after="100" w:line="276"/>
      </w:pPr>
      <w:r>
        <w:rPr>
          <w:rFonts w:ascii="Calibri" w:cs="Calibri" w:eastAsia="Calibri" w:hAnsi="Calibri"/>
          <w:sz w:val="22"/>
          <w:szCs w:val="22"/>
        </w:rPr>
        <w:t xml:space="preserve">Persistent Google Sheets repository that grows over time and can be referenced independently of any single workflow execution.</w:t>
      </w:r>
    </w:p>
    <w:p>
      <w:pPr>
        <w:pStyle w:val="ListParagraph"/>
        <w:numPr>
          <w:ilvl w:val="0"/>
          <w:numId w:val="2"/>
        </w:numPr>
        <w:spacing w:after="100" w:line="276"/>
      </w:pPr>
      <w:r>
        <w:rPr>
          <w:rFonts w:ascii="Calibri" w:cs="Calibri" w:eastAsia="Calibri" w:hAnsi="Calibri"/>
          <w:sz w:val="22"/>
          <w:szCs w:val="22"/>
        </w:rPr>
        <w:t xml:space="preserve">Goal-oriented insight generation, where the cross-paper synthesis step is explicitly tied to the researcher's stated research goal rather than being a generic summary.</w:t>
      </w:r>
    </w:p>
    <w:p>
      <w:pPr>
        <w:pStyle w:val="ListParagraph"/>
        <w:numPr>
          <w:ilvl w:val="0"/>
          <w:numId w:val="2"/>
        </w:numPr>
        <w:spacing w:after="100" w:line="276"/>
      </w:pPr>
      <w:r>
        <w:rPr>
          <w:rFonts w:ascii="Calibri" w:cs="Calibri" w:eastAsia="Calibri" w:hAnsi="Calibri"/>
          <w:sz w:val="22"/>
          <w:szCs w:val="22"/>
        </w:rPr>
        <w:t xml:space="preserve">Visual, low-code implementation using n8n, making the entire pipeline's logic inspectable and modifiable without writing a full custom backend application.</w:t>
      </w:r>
    </w:p>
    <w:p>
      <w:pPr>
        <w:pStyle w:val="ListParagraph"/>
        <w:numPr>
          <w:ilvl w:val="0"/>
          <w:numId w:val="2"/>
        </w:numPr>
        <w:spacing w:after="100" w:line="276"/>
      </w:pPr>
      <w:r>
        <w:rPr>
          <w:rFonts w:ascii="Calibri" w:cs="Calibri" w:eastAsia="Calibri" w:hAnsi="Calibri"/>
          <w:sz w:val="22"/>
          <w:szCs w:val="22"/>
        </w:rPr>
        <w:t xml:space="preserve">Explicit anti-hallucination instructions embedded consistently across all four prompts, constraining the model to the supplied data.</w:t>
      </w:r>
    </w:p>
    <w:p>
      <w:r>
        <w:br w:type="page"/>
      </w:r>
    </w:p>
    <w:p>
      <w:pPr>
        <w:pStyle w:val="Heading1"/>
        <w:spacing w:after="200" w:before="360"/>
      </w:pPr>
      <w:r>
        <w:rPr>
          <w:rFonts w:ascii="Calibri" w:cs="Calibri" w:eastAsia="Calibri" w:hAnsi="Calibri"/>
          <w:b/>
          <w:bCs/>
          <w:color w:val="1F3864"/>
          <w:sz w:val="32"/>
          <w:szCs w:val="32"/>
        </w:rPr>
        <w:t xml:space="preserve">Limitations</w:t>
      </w:r>
    </w:p>
    <w:p>
      <w:pPr>
        <w:spacing w:after="160" w:line="276"/>
        <w:jc w:val="both"/>
      </w:pPr>
      <w:r>
        <w:rPr>
          <w:rFonts w:ascii="Calibri" w:cs="Calibri" w:eastAsia="Calibri" w:hAnsi="Calibri"/>
          <w:b w:val="false"/>
          <w:bCs w:val="false"/>
          <w:i w:val="false"/>
          <w:iCs w:val="false"/>
          <w:sz w:val="22"/>
          <w:szCs w:val="22"/>
        </w:rPr>
        <w:t xml:space="preserve">Notwithstanding the advantages listed in Section 19, and consistent with the interaction analysis in Section 16, the current implementation has the following limitations.</w:t>
      </w:r>
    </w:p>
    <w:p>
      <w:pPr>
        <w:pStyle w:val="ListParagraph"/>
        <w:numPr>
          <w:ilvl w:val="0"/>
          <w:numId w:val="2"/>
        </w:numPr>
        <w:spacing w:after="100" w:line="276"/>
      </w:pPr>
      <w:r>
        <w:rPr>
          <w:rFonts w:ascii="Calibri" w:cs="Calibri" w:eastAsia="Calibri" w:hAnsi="Calibri"/>
          <w:sz w:val="22"/>
          <w:szCs w:val="22"/>
        </w:rPr>
        <w:t xml:space="preserve">The output of Workflow 2 (OpenAlex relevance scoring) is not currently connected to any consuming node within Workflow 1, meaning the recommendation results are generated but not yet persisted to the Google Sheet or included in the emailed report.</w:t>
      </w:r>
    </w:p>
    <w:p>
      <w:pPr>
        <w:pStyle w:val="ListParagraph"/>
        <w:numPr>
          <w:ilvl w:val="0"/>
          <w:numId w:val="2"/>
        </w:numPr>
        <w:spacing w:after="100" w:line="276"/>
      </w:pPr>
      <w:r>
        <w:rPr>
          <w:rFonts w:ascii="Calibri" w:cs="Calibri" w:eastAsia="Calibri" w:hAnsi="Calibri"/>
          <w:sz w:val="22"/>
          <w:szCs w:val="22"/>
        </w:rPr>
        <w:t xml:space="preserve">No explicit error-handling, retry logic, or fallback branches are configured on any node across the three workflows; a failure in any single external call (arXiv, OpenAlex, or OpenAI) will cause the corresponding workflow execution to stop.</w:t>
      </w:r>
    </w:p>
    <w:p>
      <w:pPr>
        <w:pStyle w:val="ListParagraph"/>
        <w:numPr>
          <w:ilvl w:val="0"/>
          <w:numId w:val="2"/>
        </w:numPr>
        <w:spacing w:after="100" w:line="276"/>
      </w:pPr>
      <w:r>
        <w:rPr>
          <w:rFonts w:ascii="Calibri" w:cs="Calibri" w:eastAsia="Calibri" w:hAnsi="Calibri"/>
          <w:sz w:val="22"/>
          <w:szCs w:val="22"/>
        </w:rPr>
        <w:t xml:space="preserve">Relevance scores generated in Workflow 2 are produced entirely by the language model's own judgement rather than a fixed, independently verifiable scoring formula, so scores may vary slightly between repeated runs on the same paper.</w:t>
      </w:r>
    </w:p>
    <w:p>
      <w:pPr>
        <w:pStyle w:val="ListParagraph"/>
        <w:numPr>
          <w:ilvl w:val="0"/>
          <w:numId w:val="2"/>
        </w:numPr>
        <w:spacing w:after="100" w:line="276"/>
      </w:pPr>
      <w:r>
        <w:rPr>
          <w:rFonts w:ascii="Calibri" w:cs="Calibri" w:eastAsia="Calibri" w:hAnsi="Calibri"/>
          <w:sz w:val="22"/>
          <w:szCs w:val="22"/>
        </w:rPr>
        <w:t xml:space="preserve">The system depends entirely on the title and abstract of each paper; it does not currently analyse full paper text, figures, or tables, which limits the depth of the generated analysis.</w:t>
      </w:r>
    </w:p>
    <w:p>
      <w:pPr>
        <w:pStyle w:val="ListParagraph"/>
        <w:numPr>
          <w:ilvl w:val="0"/>
          <w:numId w:val="2"/>
        </w:numPr>
        <w:spacing w:after="100" w:line="276"/>
      </w:pPr>
      <w:r>
        <w:rPr>
          <w:rFonts w:ascii="Calibri" w:cs="Calibri" w:eastAsia="Calibri" w:hAnsi="Calibri"/>
          <w:sz w:val="22"/>
          <w:szCs w:val="22"/>
        </w:rPr>
        <w:t xml:space="preserve">There is no de-duplication logic to detect and merge papers that may appear in both the arXiv and OpenAlex result sets for the same research topic.</w:t>
      </w:r>
    </w:p>
    <w:p>
      <w:pPr>
        <w:pStyle w:val="ListParagraph"/>
        <w:numPr>
          <w:ilvl w:val="0"/>
          <w:numId w:val="2"/>
        </w:numPr>
        <w:spacing w:after="100" w:line="276"/>
      </w:pPr>
      <w:r>
        <w:rPr>
          <w:rFonts w:ascii="Calibri" w:cs="Calibri" w:eastAsia="Calibri" w:hAnsi="Calibri"/>
          <w:sz w:val="22"/>
          <w:szCs w:val="22"/>
        </w:rPr>
        <w:t xml:space="preserve">The Google Sheets repository has no mechanism in the current workflows to check for and prevent duplicate entries if the same topic is submitted more than once.</w:t>
      </w:r>
    </w:p>
    <w:p>
      <w:pPr>
        <w:pStyle w:val="ListParagraph"/>
        <w:numPr>
          <w:ilvl w:val="0"/>
          <w:numId w:val="2"/>
        </w:numPr>
        <w:spacing w:after="100" w:line="276"/>
      </w:pPr>
      <w:r>
        <w:rPr>
          <w:rFonts w:ascii="Calibri" w:cs="Calibri" w:eastAsia="Calibri" w:hAnsi="Calibri"/>
          <w:sz w:val="22"/>
          <w:szCs w:val="22"/>
        </w:rPr>
        <w:t xml:space="preserve">The OpenAlex query in Workflow 2 is fixed at 10 results per page and does not currently expose a configurable number-of-results input in the same way Workflow 1's form does for arXiv.</w:t>
      </w:r>
    </w:p>
    <w:p>
      <w:r>
        <w:br w:type="page"/>
      </w:r>
    </w:p>
    <w:p>
      <w:pPr>
        <w:pStyle w:val="Heading1"/>
        <w:spacing w:after="200" w:before="360"/>
      </w:pPr>
      <w:r>
        <w:rPr>
          <w:rFonts w:ascii="Calibri" w:cs="Calibri" w:eastAsia="Calibri" w:hAnsi="Calibri"/>
          <w:b/>
          <w:bCs/>
          <w:color w:val="1F3864"/>
          <w:sz w:val="32"/>
          <w:szCs w:val="32"/>
        </w:rPr>
        <w:t xml:space="preserve">Future Scope</w:t>
      </w:r>
    </w:p>
    <w:p>
      <w:pPr>
        <w:spacing w:after="160" w:line="276"/>
        <w:jc w:val="both"/>
      </w:pPr>
      <w:r>
        <w:rPr>
          <w:rFonts w:ascii="Calibri" w:cs="Calibri" w:eastAsia="Calibri" w:hAnsi="Calibri"/>
          <w:b w:val="false"/>
          <w:bCs w:val="false"/>
          <w:i w:val="false"/>
          <w:iCs w:val="false"/>
          <w:sz w:val="22"/>
          <w:szCs w:val="22"/>
        </w:rPr>
        <w:t xml:space="preserve">Each limitation identified in Section 20 corresponds to a concrete opportunity for future enhancement, summarised below.</w:t>
      </w:r>
    </w:p>
    <w:p>
      <w:pPr>
        <w:pStyle w:val="ListParagraph"/>
        <w:numPr>
          <w:ilvl w:val="0"/>
          <w:numId w:val="2"/>
        </w:numPr>
        <w:spacing w:after="100" w:line="276"/>
      </w:pPr>
      <w:r>
        <w:rPr>
          <w:rFonts w:ascii="Calibri" w:cs="Calibri" w:eastAsia="Calibri" w:hAnsi="Calibri"/>
          <w:sz w:val="22"/>
          <w:szCs w:val="22"/>
        </w:rPr>
        <w:t xml:space="preserve">Semantic Search: Replacing or augmenting the current keyword-based arXiv and OpenAlex queries with embedding-based semantic search to improve topical matching.</w:t>
      </w:r>
    </w:p>
    <w:p>
      <w:pPr>
        <w:pStyle w:val="ListParagraph"/>
        <w:numPr>
          <w:ilvl w:val="0"/>
          <w:numId w:val="2"/>
        </w:numPr>
        <w:spacing w:after="100" w:line="276"/>
      </w:pPr>
      <w:r>
        <w:rPr>
          <w:rFonts w:ascii="Calibri" w:cs="Calibri" w:eastAsia="Calibri" w:hAnsi="Calibri"/>
          <w:sz w:val="22"/>
          <w:szCs w:val="22"/>
        </w:rPr>
        <w:t xml:space="preserve">Vector Databases: Storing paper embeddings in a vector database to enable fast similarity search across a growing repository of previously discovered papers.</w:t>
      </w:r>
    </w:p>
    <w:p>
      <w:pPr>
        <w:pStyle w:val="ListParagraph"/>
        <w:numPr>
          <w:ilvl w:val="0"/>
          <w:numId w:val="2"/>
        </w:numPr>
        <w:spacing w:after="100" w:line="276"/>
      </w:pPr>
      <w:r>
        <w:rPr>
          <w:rFonts w:ascii="Calibri" w:cs="Calibri" w:eastAsia="Calibri" w:hAnsi="Calibri"/>
          <w:sz w:val="22"/>
          <w:szCs w:val="22"/>
        </w:rPr>
        <w:t xml:space="preserve">Retrieval-Augmented Generation (RAG): Allowing the report-generation and insight-synthesis prompts to retrieve and cite specific supporting passages from full paper text rather than relying solely on titles and abstracts.</w:t>
      </w:r>
    </w:p>
    <w:p>
      <w:pPr>
        <w:pStyle w:val="ListParagraph"/>
        <w:numPr>
          <w:ilvl w:val="0"/>
          <w:numId w:val="2"/>
        </w:numPr>
        <w:spacing w:after="100" w:line="276"/>
      </w:pPr>
      <w:r>
        <w:rPr>
          <w:rFonts w:ascii="Calibri" w:cs="Calibri" w:eastAsia="Calibri" w:hAnsi="Calibri"/>
          <w:sz w:val="22"/>
          <w:szCs w:val="22"/>
        </w:rPr>
        <w:t xml:space="preserve">Citation Generator: Automatically formatting discovered papers into standard citation styles (APA, IEEE, MLA) for direct inclusion in academic writing.</w:t>
      </w:r>
    </w:p>
    <w:p>
      <w:pPr>
        <w:pStyle w:val="ListParagraph"/>
        <w:numPr>
          <w:ilvl w:val="0"/>
          <w:numId w:val="2"/>
        </w:numPr>
        <w:spacing w:after="100" w:line="276"/>
      </w:pPr>
      <w:r>
        <w:rPr>
          <w:rFonts w:ascii="Calibri" w:cs="Calibri" w:eastAsia="Calibri" w:hAnsi="Calibri"/>
          <w:sz w:val="22"/>
          <w:szCs w:val="22"/>
        </w:rPr>
        <w:t xml:space="preserve">PDF Report Generation: Producing the final research report as a formatted PDF document in addition to, or instead of, the current HTML email.</w:t>
      </w:r>
    </w:p>
    <w:p>
      <w:pPr>
        <w:pStyle w:val="ListParagraph"/>
        <w:numPr>
          <w:ilvl w:val="0"/>
          <w:numId w:val="2"/>
        </w:numPr>
        <w:spacing w:after="100" w:line="276"/>
      </w:pPr>
      <w:r>
        <w:rPr>
          <w:rFonts w:ascii="Calibri" w:cs="Calibri" w:eastAsia="Calibri" w:hAnsi="Calibri"/>
          <w:sz w:val="22"/>
          <w:szCs w:val="22"/>
        </w:rPr>
        <w:t xml:space="preserve">Research Dashboard: Building a dedicated dashboard interface on top of the Google Sheets repository to visualise trends, relevance scores and themes across all previously processed research topics.</w:t>
      </w:r>
    </w:p>
    <w:p>
      <w:pPr>
        <w:pStyle w:val="ListParagraph"/>
        <w:numPr>
          <w:ilvl w:val="0"/>
          <w:numId w:val="2"/>
        </w:numPr>
        <w:spacing w:after="100" w:line="276"/>
      </w:pPr>
      <w:r>
        <w:rPr>
          <w:rFonts w:ascii="Calibri" w:cs="Calibri" w:eastAsia="Calibri" w:hAnsi="Calibri"/>
          <w:sz w:val="22"/>
          <w:szCs w:val="22"/>
        </w:rPr>
        <w:t xml:space="preserve">Knowledge Graph: Constructing a knowledge graph linking papers, authors, topics and identified themes to support more advanced cross-paper reasoning.</w:t>
      </w:r>
    </w:p>
    <w:p>
      <w:pPr>
        <w:pStyle w:val="ListParagraph"/>
        <w:numPr>
          <w:ilvl w:val="0"/>
          <w:numId w:val="2"/>
        </w:numPr>
        <w:spacing w:after="100" w:line="276"/>
      </w:pPr>
      <w:r>
        <w:rPr>
          <w:rFonts w:ascii="Calibri" w:cs="Calibri" w:eastAsia="Calibri" w:hAnsi="Calibri"/>
          <w:sz w:val="22"/>
          <w:szCs w:val="22"/>
        </w:rPr>
        <w:t xml:space="preserve">Multi-language Support: Extending the discovery and analysis prompts to correctly process and summarise papers published in languages other than English.</w:t>
      </w:r>
    </w:p>
    <w:p>
      <w:pPr>
        <w:pStyle w:val="ListParagraph"/>
        <w:numPr>
          <w:ilvl w:val="0"/>
          <w:numId w:val="2"/>
        </w:numPr>
        <w:spacing w:after="100" w:line="276"/>
      </w:pPr>
      <w:r>
        <w:rPr>
          <w:rFonts w:ascii="Calibri" w:cs="Calibri" w:eastAsia="Calibri" w:hAnsi="Calibri"/>
          <w:sz w:val="22"/>
          <w:szCs w:val="22"/>
        </w:rPr>
        <w:t xml:space="preserve">Connecting Workflow 2's output: Wiring the currently unused recommendation output from Workflow 2 into the Google Sheet and the final emailed report, so that relevance scores are visible to the end user.</w:t>
      </w:r>
    </w:p>
    <w:p>
      <w:pPr>
        <w:pStyle w:val="ListParagraph"/>
        <w:numPr>
          <w:ilvl w:val="0"/>
          <w:numId w:val="2"/>
        </w:numPr>
        <w:spacing w:after="100" w:line="276"/>
      </w:pPr>
      <w:r>
        <w:rPr>
          <w:rFonts w:ascii="Calibri" w:cs="Calibri" w:eastAsia="Calibri" w:hAnsi="Calibri"/>
          <w:sz w:val="22"/>
          <w:szCs w:val="22"/>
        </w:rPr>
        <w:t xml:space="preserve">Error handling and retries: Adding dedicated error-handling branches and retry-on-fail configuration to make the pipeline more resilient to transient API or model failures.</w:t>
      </w:r>
    </w:p>
    <w:p>
      <w:r>
        <w:br w:type="page"/>
      </w:r>
    </w:p>
    <w:p>
      <w:pPr>
        <w:pStyle w:val="Heading1"/>
        <w:spacing w:after="200" w:before="360"/>
      </w:pPr>
      <w:r>
        <w:rPr>
          <w:rFonts w:ascii="Calibri" w:cs="Calibri" w:eastAsia="Calibri" w:hAnsi="Calibri"/>
          <w:b/>
          <w:bCs/>
          <w:color w:val="1F3864"/>
          <w:sz w:val="32"/>
          <w:szCs w:val="32"/>
        </w:rPr>
        <w:t xml:space="preserve">Conclusion</w:t>
      </w:r>
    </w:p>
    <w:p>
      <w:pPr>
        <w:spacing w:after="160" w:line="276"/>
        <w:jc w:val="both"/>
      </w:pPr>
      <w:r>
        <w:rPr>
          <w:rFonts w:ascii="Calibri" w:cs="Calibri" w:eastAsia="Calibri" w:hAnsi="Calibri"/>
          <w:b w:val="false"/>
          <w:bCs w:val="false"/>
          <w:i w:val="false"/>
          <w:iCs w:val="false"/>
          <w:sz w:val="22"/>
          <w:szCs w:val="22"/>
        </w:rPr>
        <w:t xml:space="preserve">Drawing together the architecture described in Section 9, the workflow-level detail of Sections 11 to 13, and the results reported in Section 18, this project demonstrates that a functional, end-to-end AI-assisted research support pipeline can be built using the n8n workflow automation platform in combination with a large language model, without requiring a fully custom-coded backend application. By dividing the system into three focused workflows — paper discovery and analysis, recommendation scoring, and cross-paper insight generation — the project achieves a modular design in which each stage of the research assistance process is independently inspectable, testable and reusable.</w:t>
      </w:r>
    </w:p>
    <w:p>
      <w:pPr>
        <w:spacing w:after="160" w:line="276"/>
        <w:jc w:val="both"/>
      </w:pPr>
      <w:r>
        <w:rPr>
          <w:rFonts w:ascii="Calibri" w:cs="Calibri" w:eastAsia="Calibri" w:hAnsi="Calibri"/>
          <w:b w:val="false"/>
          <w:bCs w:val="false"/>
          <w:i w:val="false"/>
          <w:iCs w:val="false"/>
          <w:sz w:val="22"/>
          <w:szCs w:val="22"/>
        </w:rPr>
        <w:t xml:space="preserve">The system successfully automates several of the most time-consuming aspects of a literature review: searching multiple academic sources, reading and summarising individual papers, and synthesising findings across a set of papers into a single, goal-oriented set of insights. The final automatic delivery of a structured research report by email closes the loop from a single form submission to a finished, actionable output, with no manual compilation required from the researcher.</w:t>
      </w:r>
    </w:p>
    <w:p>
      <w:pPr>
        <w:spacing w:after="160" w:line="276"/>
        <w:jc w:val="both"/>
      </w:pPr>
      <w:r>
        <w:rPr>
          <w:rFonts w:ascii="Calibri" w:cs="Calibri" w:eastAsia="Calibri" w:hAnsi="Calibri"/>
          <w:b w:val="false"/>
          <w:bCs w:val="false"/>
          <w:i w:val="false"/>
          <w:iCs w:val="false"/>
          <w:sz w:val="22"/>
          <w:szCs w:val="22"/>
        </w:rPr>
        <w:t xml:space="preserve">At the same time, the current implementation has clearly identifiable limitations, most notably that Workflow 2's recommendation output is generated but not yet forwarded to any consuming node in Workflow 1, together with the absence of dedicated error-handling logic; both represent concrete, well-defined opportunities for future improvement, as discussed in Sections 20 and 21. Taken as a whole, the AI Research Assistant illustrates how workflow automation platforms and large language models can be combined to meaningfully reduce the manual burden of academic literature review while remaining transparent and extensible.</w:t>
      </w:r>
    </w:p>
    <w:p>
      <w:r>
        <w:br w:type="page"/>
      </w:r>
    </w:p>
    <w:p>
      <w:pPr>
        <w:pStyle w:val="Heading1"/>
        <w:spacing w:after="200" w:before="360"/>
      </w:pPr>
      <w:r>
        <w:rPr>
          <w:rFonts w:ascii="Calibri" w:cs="Calibri" w:eastAsia="Calibri" w:hAnsi="Calibri"/>
          <w:b/>
          <w:bCs/>
          <w:color w:val="1F3864"/>
          <w:sz w:val="32"/>
          <w:szCs w:val="32"/>
        </w:rPr>
        <w:t xml:space="preserve">References</w:t>
      </w:r>
    </w:p>
    <w:p>
      <w:pPr>
        <w:spacing w:after="160" w:line="276"/>
        <w:jc w:val="both"/>
      </w:pPr>
      <w:r>
        <w:rPr>
          <w:rFonts w:ascii="Calibri" w:cs="Calibri" w:eastAsia="Calibri" w:hAnsi="Calibri"/>
          <w:b w:val="false"/>
          <w:bCs w:val="false"/>
          <w:i w:val="false"/>
          <w:iCs w:val="false"/>
          <w:sz w:val="22"/>
          <w:szCs w:val="22"/>
        </w:rPr>
        <w:t xml:space="preserve">[1] n8n Documentation, "n8n — Workflow Automation Tool." Available: https://docs.n8n.io</w:t>
      </w:r>
    </w:p>
    <w:p>
      <w:pPr>
        <w:spacing w:after="160" w:line="276"/>
        <w:jc w:val="both"/>
      </w:pPr>
      <w:r>
        <w:rPr>
          <w:rFonts w:ascii="Calibri" w:cs="Calibri" w:eastAsia="Calibri" w:hAnsi="Calibri"/>
          <w:b w:val="false"/>
          <w:bCs w:val="false"/>
          <w:i w:val="false"/>
          <w:iCs w:val="false"/>
          <w:sz w:val="22"/>
          <w:szCs w:val="22"/>
        </w:rPr>
        <w:t xml:space="preserve">[2] OpenAI, "GPT Models Documentation." Available: https://platform.openai.com/docs</w:t>
      </w:r>
    </w:p>
    <w:p>
      <w:pPr>
        <w:spacing w:after="160" w:line="276"/>
        <w:jc w:val="both"/>
      </w:pPr>
      <w:r>
        <w:rPr>
          <w:rFonts w:ascii="Calibri" w:cs="Calibri" w:eastAsia="Calibri" w:hAnsi="Calibri"/>
          <w:b w:val="false"/>
          <w:bCs w:val="false"/>
          <w:i w:val="false"/>
          <w:iCs w:val="false"/>
          <w:sz w:val="22"/>
          <w:szCs w:val="22"/>
        </w:rPr>
        <w:t xml:space="preserve">[3] OpenAlex, "OpenAlex API Documentation." Available: https://docs.openalex.org</w:t>
      </w:r>
    </w:p>
    <w:p>
      <w:pPr>
        <w:spacing w:after="160" w:line="276"/>
        <w:jc w:val="both"/>
      </w:pPr>
      <w:r>
        <w:rPr>
          <w:rFonts w:ascii="Calibri" w:cs="Calibri" w:eastAsia="Calibri" w:hAnsi="Calibri"/>
          <w:b w:val="false"/>
          <w:bCs w:val="false"/>
          <w:i w:val="false"/>
          <w:iCs w:val="false"/>
          <w:sz w:val="22"/>
          <w:szCs w:val="22"/>
        </w:rPr>
        <w:t xml:space="preserve">[4] arXiv, "arXiv API User's Manual." Available: https://info.arxiv.org/help/api/index.html</w:t>
      </w:r>
    </w:p>
    <w:p>
      <w:pPr>
        <w:spacing w:after="160" w:line="276"/>
        <w:jc w:val="both"/>
      </w:pPr>
      <w:r>
        <w:rPr>
          <w:rFonts w:ascii="Calibri" w:cs="Calibri" w:eastAsia="Calibri" w:hAnsi="Calibri"/>
          <w:b w:val="false"/>
          <w:bCs w:val="false"/>
          <w:i w:val="false"/>
          <w:iCs w:val="false"/>
          <w:sz w:val="22"/>
          <w:szCs w:val="22"/>
        </w:rPr>
        <w:t xml:space="preserve">[5] Google, "Google Sheets API Documentation." Available: https://developers.google.com/sheets/api</w:t>
      </w:r>
    </w:p>
    <w:p>
      <w:pPr>
        <w:spacing w:after="160" w:line="276"/>
        <w:jc w:val="both"/>
      </w:pPr>
      <w:r>
        <w:rPr>
          <w:rFonts w:ascii="Calibri" w:cs="Calibri" w:eastAsia="Calibri" w:hAnsi="Calibri"/>
          <w:b w:val="false"/>
          <w:bCs w:val="false"/>
          <w:i w:val="false"/>
          <w:iCs w:val="false"/>
          <w:sz w:val="22"/>
          <w:szCs w:val="22"/>
        </w:rPr>
        <w:t xml:space="preserve">[6] Google, "Gmail API Documentation." Available: https://developers.google.com/gmail/api</w:t>
      </w:r>
    </w:p>
    <w:sectPr>
      <w:headerReference w:type="default" r:id="rId7"/>
      <w:footerReference w:type="default" r:id="rId8"/>
      <w:pgSz w:w="12240" w:h="15840" w:orient="portrait"/>
      <w:pgMar w:top="1080" w:right="1260" w:bottom="108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Calibri" w:eastAsia="Calibri" w:hAnsi="Calibri"/>
        <w:i/>
        <w:iCs/>
        <w:color w:val="808080"/>
        <w:sz w:val="16"/>
        <w:szCs w:val="16"/>
      </w:rPr>
      <w:t xml:space="preserve">AI Research Assistant using n8n and Large Language Models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04" w:hanging="288"/>
      </w:pPr>
    </w:lvl>
    <w:lvl w:ilvl="1" w15:tentative="1">
      <w:start w:val="1"/>
      <w:numFmt w:val="bullet"/>
      <w:lvlText w:val="◦"/>
      <w:lvlJc w:val="left"/>
      <w:pPr>
        <w:ind w:left="936" w:hanging="288"/>
      </w:pPr>
    </w:lvl>
  </w:abstractNum>
  <w:abstractNum w:abstractNumId="3" w15:restartNumberingAfterBreak="0">
    <w:multiLevelType w:val="hybridMultilevel"/>
    <w:lvl w:ilvl="0" w15:tentative="1">
      <w:start w:val="1"/>
      <w:numFmt w:val="decimal"/>
      <w:lvlText w:val="%1."/>
      <w:lvlJc w:val="left"/>
      <w:pPr>
        <w:ind w:left="504"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2026-07-25T16:43:32.085Z</dcterms:created>
  <dcterms:modified xsi:type="dcterms:W3CDTF">2026-07-25T16:43:32.102Z</dcterms:modified>
</cp:coreProperties>
</file>

<file path=docProps/custom.xml><?xml version="1.0" encoding="utf-8"?>
<Properties xmlns="http://schemas.openxmlformats.org/officeDocument/2006/custom-properties" xmlns:vt="http://schemas.openxmlformats.org/officeDocument/2006/docPropsVTypes"/>
</file>