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&lt;title&gt;Practice&lt;/title&gt;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&lt;h1&gt;BCA 1B&lt;/h1&gt;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&lt;table border="1" cellspacing="1"CELLPADDING=20&gt;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&lt;th&gt;&lt;/th&gt;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&lt;th&gt;1&lt;/th&gt;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&lt;th&gt;2&lt;/th&gt;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&lt;th&gt;3&lt;/th&gt;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&lt;th&gt;4&lt;/th&gt;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&lt;th&gt;5&lt;/th&gt;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&lt;th&gt;6&lt;/th&gt;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&lt;th&gt;7&lt;/th&gt;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&lt;th&gt;8&lt;/th&gt;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&lt;th&gt;9&lt;/th&gt;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&lt;th&gt;10&lt;/th&gt;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&lt;th&gt;11&lt;/th&gt;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&lt;td align="center"&gt;Mo&lt;/td&gt;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&lt;td&gt;&lt;/td&gt;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&lt;td  align="center"colspan="2"&gt;WT(P)&lt;/td&gt;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&lt;td align="center"&gt;Break&lt;/td&gt;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&lt;td align="center"&gt;IKS&lt;/td&gt;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&lt;td align="center"&gt;IKS&lt;/td&gt;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&lt;td align="center"&gt;EoM&lt;/td&gt;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&lt;td align="center"&gt;Tu&lt;/td&gt;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&lt;td&gt;&lt;/td&gt;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&lt;td align="center"&gt;ItI&amp;PiC(Th)&lt;/td&gt;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&lt;td align="center"&gt;DBMS(Th)&lt;/td&gt;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&lt;td align="center"&gt;EoM&lt;/td&gt;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&lt;td align="center"&gt;Break&lt;/td&gt;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&lt;td align="center"&gt;PCE-I-Apptitude&lt;/td&gt;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&lt;td align="center" colspan='2'&gt;ItI&amp;PiC(P)&lt;/td&gt;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&lt;td align="center"&gt;We&lt;/td&gt;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&lt;td&gt;&lt;/td&gt;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&lt;td&gt;&lt;/td&gt;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&lt;td align="center"&gt;EoM&lt;/td&gt;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&lt;td align="center"&gt;Break&lt;/td&gt;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&lt;td align="center"&gt;DBMS(P)&lt;/td&gt;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&lt;td align="center"&gt;DBMS(P)&lt;/td&gt;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&lt;td align="center"&gt;PCE-I-SS&lt;/td&gt;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&lt;tr 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&lt;td align="center"&gt;Th&lt;/td&gt;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&lt;td&gt;&lt;/td&gt;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&lt;td align="center"colspan='2'&gt;ItI&amp;PiC(P&lt;/td&gt;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&lt;td align="center"&gt;EoM&lt;/td&gt;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&lt;td align="center"&gt;Break&lt;/td&gt;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&lt;td align="center"&gt;WT(P)&lt;/td&gt;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&lt;td align="center"&gt;ItI&amp;PiC(Th)&lt;/td&gt;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&lt;td align="center"&gt;DBMS(Th)&lt;/td&gt;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&lt;td align="center"&gt;Fr&lt;/td&gt;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&lt;td&gt;&lt;/td&gt;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&lt;td align="center"&gt;DBMS(Th)&lt;/td&gt;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&lt;td align="center"&gt;ItI&amp;PiC(Th)&lt;/td&gt;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&lt;td align="center"&gt;Break&lt;/td&gt;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&lt;td align="center"&gt;SDG&lt;/td&gt;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&lt;td align="center"&gt;PCE-I-Apptitude&lt;/td&gt;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&lt;td align="center"&gt;PCE-I-SS&lt;/td&gt;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