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9">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10">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11">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2">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0"/>
      <w:bookmarkEnd w:id="0"/>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17">
      <w:pPr>
        <w:rPr>
          <w:rFonts w:ascii="Calibri" w:cs="Calibri" w:eastAsia="Calibri" w:hAnsi="Calibri"/>
          <w:sz w:val="24"/>
          <w:szCs w:val="24"/>
        </w:rPr>
      </w:pPr>
      <w:r w:rsidDel="00000000" w:rsidR="00000000" w:rsidRPr="00000000">
        <w:rPr>
          <w:rtl w:val="0"/>
        </w:rPr>
      </w:r>
    </w:p>
    <w:sdt>
      <w:sdtPr>
        <w:lock w:val="contentLocked"/>
        <w:id w:val="442264868"/>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18">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1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c>
              <w:tcPr/>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r>
          <w:tr>
            <w:trPr>
              <w:cantSplit w:val="0"/>
              <w:tblHeader w:val="0"/>
            </w:trPr>
            <w:tc>
              <w:tcPr/>
              <w:p w:rsidR="00000000" w:rsidDel="00000000" w:rsidP="00000000" w:rsidRDefault="00000000" w:rsidRPr="00000000" w14:paraId="000000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2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ctopp_nwr_std_post }}</w:t>
                </w:r>
              </w:p>
            </w:tc>
            <w:tc>
              <w:tcPr/>
              <w:p w:rsidR="00000000" w:rsidDel="00000000" w:rsidP="00000000" w:rsidRDefault="00000000" w:rsidRPr="00000000" w14:paraId="000000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ctopp_nwr_category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ctopp_elision_std_post }}, which is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ctopp_nwr_std_post }}, which is {{ ctopp_nwr_category }}. </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50"/>
        <w:gridCol w:w="1470"/>
        <w:gridCol w:w="1500"/>
        <w:gridCol w:w="2340"/>
        <w:tblGridChange w:id="0">
          <w:tblGrid>
            <w:gridCol w:w="4050"/>
            <w:gridCol w:w="1470"/>
            <w:gridCol w:w="1500"/>
            <w:gridCol w:w="2340"/>
          </w:tblGrid>
        </w:tblGridChange>
      </w:tblGrid>
      <w:tr>
        <w:trPr>
          <w:cantSplit w:val="0"/>
          <w:tblHeader w:val="0"/>
        </w:trPr>
        <w:tc>
          <w:tcPr/>
          <w:p w:rsidR="00000000" w:rsidDel="00000000" w:rsidP="00000000" w:rsidRDefault="00000000" w:rsidRPr="00000000" w14:paraId="0000002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E">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2F">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dibels_words_correct_post }}</w:t>
            </w:r>
          </w:p>
        </w:tc>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dibels_orf_words_correct_category }}</w:t>
            </w:r>
          </w:p>
        </w:tc>
      </w:tr>
      <w:tr>
        <w:trPr>
          <w:cantSplit w:val="0"/>
          <w:tblHeader w:val="0"/>
        </w:trPr>
        <w:tc>
          <w:tcPr/>
          <w:p w:rsidR="00000000" w:rsidDel="00000000" w:rsidP="00000000" w:rsidRDefault="00000000" w:rsidRPr="00000000" w14:paraId="00000032">
            <w:pPr>
              <w:rPr>
                <w:rFonts w:ascii="Calibri" w:cs="Calibri" w:eastAsia="Calibri" w:hAnsi="Calibri"/>
                <w:sz w:val="24"/>
                <w:szCs w:val="24"/>
              </w:rPr>
            </w:pPr>
            <w:sdt>
              <w:sdtPr>
                <w:id w:val="-1106268423"/>
                <w:tag w:val="goog_rdk_1"/>
              </w:sdtPr>
              <w:sdtContent>
                <w:commentRangeStart w:id="0"/>
              </w:sdtContent>
            </w:sdt>
            <w:r w:rsidDel="00000000" w:rsidR="00000000" w:rsidRPr="00000000">
              <w:rPr>
                <w:rFonts w:ascii="Calibri" w:cs="Calibri" w:eastAsia="Calibri" w:hAnsi="Calibri"/>
                <w:sz w:val="24"/>
                <w:szCs w:val="24"/>
                <w:rtl w:val="0"/>
              </w:rPr>
              <w:t xml:space="preserve">DORF Accuracy </w:t>
            </w:r>
            <w:commentRangeEnd w:id="0"/>
            <w:r w:rsidDel="00000000" w:rsidR="00000000" w:rsidRPr="00000000">
              <w:commentReference w:id="0"/>
            </w:r>
            <w:r w:rsidDel="00000000" w:rsidR="00000000" w:rsidRPr="00000000">
              <w:rPr>
                <w:rtl w:val="0"/>
              </w:rPr>
            </w:r>
          </w:p>
        </w:tc>
        <w:tc>
          <w:tcPr/>
          <w:p w:rsidR="00000000" w:rsidDel="00000000" w:rsidP="00000000" w:rsidRDefault="00000000" w:rsidRPr="00000000" w14:paraId="00000033">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dorf_accuracy }} </w:t>
            </w:r>
          </w:p>
        </w:tc>
        <w:tc>
          <w:tcPr/>
          <w:p w:rsidR="00000000" w:rsidDel="00000000" w:rsidP="00000000" w:rsidRDefault="00000000" w:rsidRPr="00000000" w14:paraId="00000035">
            <w:pPr>
              <w:jc w:val="cente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3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dibels_orf_words_correct_post }}, which is </w:t>
      </w:r>
      <w:r w:rsidDel="00000000" w:rsidR="00000000" w:rsidRPr="00000000">
        <w:rPr>
          <w:rFonts w:ascii="Calibri" w:cs="Calibri" w:eastAsia="Calibri" w:hAnsi="Calibri"/>
          <w:sz w:val="24"/>
          <w:szCs w:val="24"/>
          <w:rtl w:val="0"/>
        </w:rPr>
        <w:t xml:space="preserve">{{ dibels_orf_words_correct_category }}.</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 dorf_accuracy }} , which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tbl>
      <w:tblPr>
        <w:tblStyle w:val="Table3"/>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B">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3">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rPr>
                <w:sz w:val="24"/>
                <w:szCs w:val="24"/>
              </w:rPr>
            </w:pPr>
            <w:r w:rsidDel="00000000" w:rsidR="00000000" w:rsidRPr="00000000">
              <w:rPr>
                <w:rFonts w:ascii="Calibri" w:cs="Calibri" w:eastAsia="Calibri" w:hAnsi="Calibri"/>
                <w:sz w:val="24"/>
                <w:szCs w:val="24"/>
                <w:rtl w:val="0"/>
              </w:rPr>
              <w:t xml:space="preserve">{{ wrmt_wid_std_post}}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rPr>
                <w:sz w:val="24"/>
                <w:szCs w:val="24"/>
              </w:rPr>
            </w:pPr>
            <w:r w:rsidDel="00000000" w:rsidR="00000000" w:rsidRPr="00000000">
              <w:rPr>
                <w:rFonts w:ascii="Calibri" w:cs="Calibri" w:eastAsia="Calibri" w:hAnsi="Calibri"/>
                <w:sz w:val="24"/>
                <w:szCs w:val="24"/>
                <w:rtl w:val="0"/>
              </w:rPr>
              <w:t xml:space="preserve">{{ wrmt_word_id_category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9">
            <w:pPr>
              <w:rPr>
                <w:sz w:val="24"/>
                <w:szCs w:val="24"/>
              </w:rPr>
            </w:pPr>
            <w:r w:rsidDel="00000000" w:rsidR="00000000" w:rsidRPr="00000000">
              <w:rPr>
                <w:rFonts w:ascii="Calibri" w:cs="Calibri" w:eastAsia="Calibri" w:hAnsi="Calibri"/>
                <w:sz w:val="24"/>
                <w:szCs w:val="24"/>
                <w:rtl w:val="0"/>
              </w:rPr>
              <w:t xml:space="preserve">{{ towre_swe_std_post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rPr>
                <w:sz w:val="24"/>
                <w:szCs w:val="24"/>
              </w:rPr>
            </w:pPr>
            <w:r w:rsidDel="00000000" w:rsidR="00000000" w:rsidRPr="00000000">
              <w:rPr>
                <w:rFonts w:ascii="Calibri" w:cs="Calibri" w:eastAsia="Calibri" w:hAnsi="Calibri"/>
                <w:sz w:val="24"/>
                <w:szCs w:val="24"/>
                <w:rtl w:val="0"/>
              </w:rPr>
              <w:t xml:space="preserve">{{ towre_swe_category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rPr>
                <w:sz w:val="24"/>
                <w:szCs w:val="24"/>
              </w:rPr>
            </w:pPr>
            <w:r w:rsidDel="00000000" w:rsidR="00000000" w:rsidRPr="00000000">
              <w:rPr>
                <w:rFonts w:ascii="Calibri" w:cs="Calibri" w:eastAsia="Calibri" w:hAnsi="Calibri"/>
                <w:sz w:val="24"/>
                <w:szCs w:val="24"/>
                <w:rtl w:val="0"/>
              </w:rPr>
              <w:t xml:space="preserve">{{ wrmt_pc_std_post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rPr>
                <w:sz w:val="24"/>
                <w:szCs w:val="24"/>
              </w:rPr>
            </w:pPr>
            <w:r w:rsidDel="00000000" w:rsidR="00000000" w:rsidRPr="00000000">
              <w:rPr>
                <w:rFonts w:ascii="Calibri" w:cs="Calibri" w:eastAsia="Calibri" w:hAnsi="Calibri"/>
                <w:sz w:val="24"/>
                <w:szCs w:val="24"/>
                <w:rtl w:val="0"/>
              </w:rPr>
              <w:t xml:space="preserve">{{ wrmt_pc_category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4F">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3">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rPr>
                <w:sz w:val="24"/>
                <w:szCs w:val="24"/>
              </w:rPr>
            </w:pPr>
            <w:r w:rsidDel="00000000" w:rsidR="00000000" w:rsidRPr="00000000">
              <w:rPr>
                <w:rFonts w:ascii="Calibri" w:cs="Calibri" w:eastAsia="Calibri" w:hAnsi="Calibri"/>
                <w:sz w:val="24"/>
                <w:szCs w:val="24"/>
                <w:rtl w:val="0"/>
              </w:rPr>
              <w:t xml:space="preserve">{{ wrmt_wa_std_post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rPr>
                <w:sz w:val="24"/>
                <w:szCs w:val="24"/>
              </w:rPr>
            </w:pPr>
            <w:r w:rsidDel="00000000" w:rsidR="00000000" w:rsidRPr="00000000">
              <w:rPr>
                <w:rFonts w:ascii="Calibri" w:cs="Calibri" w:eastAsia="Calibri" w:hAnsi="Calibri"/>
                <w:sz w:val="24"/>
                <w:szCs w:val="24"/>
                <w:rtl w:val="0"/>
              </w:rPr>
              <w:t xml:space="preserve">{{ wrmt_word_attack_category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rPr>
                <w:sz w:val="24"/>
                <w:szCs w:val="24"/>
              </w:rPr>
            </w:pPr>
            <w:r w:rsidDel="00000000" w:rsidR="00000000" w:rsidRPr="00000000">
              <w:rPr>
                <w:rFonts w:ascii="Calibri" w:cs="Calibri" w:eastAsia="Calibri" w:hAnsi="Calibri"/>
                <w:sz w:val="24"/>
                <w:szCs w:val="24"/>
                <w:rtl w:val="0"/>
              </w:rPr>
              <w:t xml:space="preserve">{{ towre_pde_std_post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towre_pde_category }}</w:t>
            </w:r>
            <w:r w:rsidDel="00000000" w:rsidR="00000000" w:rsidRPr="00000000">
              <w:rPr>
                <w:rtl w:val="0"/>
              </w:rPr>
            </w:r>
          </w:p>
        </w:tc>
      </w:tr>
    </w:tbl>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wrmt_wid_std_post }}, which is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wrmt_wa_std_post }}, which is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wrmt_pc_std_post }}, which is {{ wrmt_pc_category }}.</w:t>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towre_swe_std_post }}, which is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towre_pde_std_post }}, which is {{ towre_pde_category }}.</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61">
      <w:pPr>
        <w:rPr>
          <w:rFonts w:ascii="Calibri" w:cs="Calibri" w:eastAsia="Calibri" w:hAnsi="Calibri"/>
          <w:sz w:val="24"/>
          <w:szCs w:val="24"/>
        </w:rPr>
      </w:pP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62">
            <w:pPr>
              <w:rPr>
                <w:sz w:val="24"/>
                <w:szCs w:val="24"/>
              </w:rPr>
            </w:pPr>
            <w:r w:rsidDel="00000000" w:rsidR="00000000" w:rsidRPr="00000000">
              <w:rPr>
                <w:rtl w:val="0"/>
              </w:rPr>
            </w:r>
          </w:p>
        </w:tc>
        <w:tc>
          <w:tcPr>
            <w:vAlign w:val="center"/>
          </w:tcPr>
          <w:p w:rsidR="00000000" w:rsidDel="00000000" w:rsidP="00000000" w:rsidRDefault="00000000" w:rsidRPr="00000000" w14:paraId="00000063">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64">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66">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67">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ppvt_std_post }}</w:t>
            </w:r>
          </w:p>
        </w:tc>
        <w:tc>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ppvt_category }}</w:t>
            </w:r>
          </w:p>
        </w:tc>
      </w:tr>
    </w:tbl>
    <w:p w:rsidR="00000000" w:rsidDel="00000000" w:rsidP="00000000" w:rsidRDefault="00000000" w:rsidRPr="00000000" w14:paraId="0000006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ppvt_std_post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is {{ ppvt_category }}. </w:t>
      </w:r>
    </w:p>
    <w:p w:rsidR="00000000" w:rsidDel="00000000" w:rsidP="00000000" w:rsidRDefault="00000000" w:rsidRPr="00000000" w14:paraId="0000006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rPr>
          <w:rFonts w:ascii="Calibri" w:cs="Calibri" w:eastAsia="Calibri" w:hAnsi="Calibri"/>
          <w:sz w:val="24"/>
          <w:szCs w:val="24"/>
        </w:rPr>
      </w:pPr>
      <w:r w:rsidDel="00000000" w:rsidR="00000000" w:rsidRPr="00000000">
        <w:rPr>
          <w:rtl w:val="0"/>
        </w:rPr>
      </w:r>
    </w:p>
    <w:sectPr>
      <w:headerReference r:id="rId1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ry Bready" w:id="0" w:date="2026-06-26T16:34:12Z">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think this is specifically on redcap, but can be calculated by (words read correctly/words read total) x 100</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7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evalcoll@bu.edu" TargetMode="External"/><Relationship Id="rId10" Type="http://schemas.openxmlformats.org/officeDocument/2006/relationships/hyperlink" Target="https://www.parentcenterhub.org/iep-overview/" TargetMode="External"/><Relationship Id="rId13" Type="http://schemas.openxmlformats.org/officeDocument/2006/relationships/header" Target="header1.xml"/><Relationship Id="rId12" Type="http://schemas.openxmlformats.org/officeDocument/2006/relationships/hyperlink" Target="mailto:mbready@bu.ed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fcsn.org/parents-guide/"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kPPwl3VpLH/3sx6Li1AN8MpF0g==">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