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3332A6" w14:textId="77777777" w:rsidR="00883BFC" w:rsidRPr="00883BFC" w:rsidRDefault="00883BFC" w:rsidP="00883BFC">
      <w:r w:rsidRPr="00883BFC">
        <w:rPr>
          <w:b/>
          <w:bCs/>
        </w:rPr>
        <w:t>Financial Report: NVIDIA Corporation (2010 - 2025)</w:t>
      </w:r>
    </w:p>
    <w:p w14:paraId="422AE15F" w14:textId="77777777" w:rsidR="00883BFC" w:rsidRPr="00883BFC" w:rsidRDefault="00000000" w:rsidP="00883BFC">
      <w:r>
        <w:pict w14:anchorId="44113836">
          <v:rect id="_x0000_i1025" style="width:0;height:1.5pt" o:hralign="center" o:hrstd="t" o:hr="t" fillcolor="#a0a0a0" stroked="f"/>
        </w:pict>
      </w:r>
    </w:p>
    <w:p w14:paraId="0214D5E7" w14:textId="77777777" w:rsidR="00883BFC" w:rsidRPr="00883BFC" w:rsidRDefault="00883BFC" w:rsidP="00883BFC">
      <w:pPr>
        <w:rPr>
          <w:b/>
          <w:bCs/>
        </w:rPr>
      </w:pPr>
      <w:r w:rsidRPr="00883BFC">
        <w:rPr>
          <w:b/>
          <w:bCs/>
        </w:rPr>
        <w:t>1. Business Description of NVIDIA (2010 - 2025)</w:t>
      </w:r>
    </w:p>
    <w:p w14:paraId="745EB0F8" w14:textId="77777777" w:rsidR="00883BFC" w:rsidRPr="00883BFC" w:rsidRDefault="00883BFC" w:rsidP="00883BFC">
      <w:r w:rsidRPr="00883BFC">
        <w:t xml:space="preserve">NVIDIA Corporation, founded in 1993 and headquartered in Santa Clara, California, is a global leader in graphics processing units (GPUs), AI hardware, and software solutions. Over the period from 2010 to 2025, the company transformed from a niche provider of gaming GPUs into a diversified powerhouse driving innovations across gaming, data </w:t>
      </w:r>
      <w:proofErr w:type="spellStart"/>
      <w:r w:rsidRPr="00883BFC">
        <w:t>centers</w:t>
      </w:r>
      <w:proofErr w:type="spellEnd"/>
      <w:r w:rsidRPr="00883BFC">
        <w:t>, artificial intelligence (AI), and autonomous vehicles.</w:t>
      </w:r>
    </w:p>
    <w:p w14:paraId="6FB800D2" w14:textId="77777777" w:rsidR="00883BFC" w:rsidRPr="00883BFC" w:rsidRDefault="00883BFC" w:rsidP="00883BFC">
      <w:pPr>
        <w:rPr>
          <w:b/>
          <w:bCs/>
        </w:rPr>
      </w:pPr>
      <w:r w:rsidRPr="00883BFC">
        <w:rPr>
          <w:b/>
          <w:bCs/>
        </w:rPr>
        <w:t>2010-2015: Expansion and Evolution</w:t>
      </w:r>
    </w:p>
    <w:p w14:paraId="01046A42" w14:textId="77777777" w:rsidR="00883BFC" w:rsidRPr="00883BFC" w:rsidRDefault="00883BFC" w:rsidP="00883BFC">
      <w:pPr>
        <w:numPr>
          <w:ilvl w:val="0"/>
          <w:numId w:val="1"/>
        </w:numPr>
      </w:pPr>
      <w:r w:rsidRPr="00883BFC">
        <w:rPr>
          <w:b/>
          <w:bCs/>
        </w:rPr>
        <w:t>Gaming Dominance</w:t>
      </w:r>
      <w:r w:rsidRPr="00883BFC">
        <w:t>: NVIDIA’s GeForce GPUs dominated the gaming sector, offering industry-leading performance. The launch of the GTX 600 and 700 series solidified its reputation.</w:t>
      </w:r>
    </w:p>
    <w:p w14:paraId="216D2418" w14:textId="77777777" w:rsidR="00883BFC" w:rsidRPr="00883BFC" w:rsidRDefault="00883BFC" w:rsidP="00883BFC">
      <w:pPr>
        <w:numPr>
          <w:ilvl w:val="0"/>
          <w:numId w:val="1"/>
        </w:numPr>
      </w:pPr>
      <w:r w:rsidRPr="00883BFC">
        <w:rPr>
          <w:b/>
          <w:bCs/>
        </w:rPr>
        <w:t>CUDA Platform</w:t>
      </w:r>
      <w:r w:rsidRPr="00883BFC">
        <w:t>: NVIDIA’s Compute Unified Device Architecture (CUDA) became a pivotal platform for accelerating computing in scientific research, engineering, and AI.</w:t>
      </w:r>
    </w:p>
    <w:p w14:paraId="730E7672" w14:textId="77777777" w:rsidR="00883BFC" w:rsidRPr="00883BFC" w:rsidRDefault="00883BFC" w:rsidP="00883BFC">
      <w:pPr>
        <w:numPr>
          <w:ilvl w:val="0"/>
          <w:numId w:val="1"/>
        </w:numPr>
      </w:pPr>
      <w:r w:rsidRPr="00883BFC">
        <w:rPr>
          <w:b/>
          <w:bCs/>
        </w:rPr>
        <w:t>Early AI Investments</w:t>
      </w:r>
      <w:r w:rsidRPr="00883BFC">
        <w:t>: NVIDIA recognized the potential of GPUs for deep learning, setting the stage for its AI dominance.</w:t>
      </w:r>
    </w:p>
    <w:p w14:paraId="0CE2F4EE" w14:textId="77777777" w:rsidR="00883BFC" w:rsidRPr="00883BFC" w:rsidRDefault="00883BFC" w:rsidP="00883BFC">
      <w:pPr>
        <w:rPr>
          <w:b/>
          <w:bCs/>
        </w:rPr>
      </w:pPr>
      <w:r w:rsidRPr="00883BFC">
        <w:rPr>
          <w:b/>
          <w:bCs/>
        </w:rPr>
        <w:t xml:space="preserve">2016-2020: AI and Data </w:t>
      </w:r>
      <w:proofErr w:type="spellStart"/>
      <w:r w:rsidRPr="00883BFC">
        <w:rPr>
          <w:b/>
          <w:bCs/>
        </w:rPr>
        <w:t>Center</w:t>
      </w:r>
      <w:proofErr w:type="spellEnd"/>
      <w:r w:rsidRPr="00883BFC">
        <w:rPr>
          <w:b/>
          <w:bCs/>
        </w:rPr>
        <w:t xml:space="preserve"> Growth</w:t>
      </w:r>
    </w:p>
    <w:p w14:paraId="79DB13EB" w14:textId="77777777" w:rsidR="00883BFC" w:rsidRPr="00883BFC" w:rsidRDefault="00883BFC" w:rsidP="00883BFC">
      <w:pPr>
        <w:numPr>
          <w:ilvl w:val="0"/>
          <w:numId w:val="2"/>
        </w:numPr>
      </w:pPr>
      <w:r w:rsidRPr="00883BFC">
        <w:rPr>
          <w:b/>
          <w:bCs/>
        </w:rPr>
        <w:t>AI Revolution</w:t>
      </w:r>
      <w:r w:rsidRPr="00883BFC">
        <w:t>: The introduction of the Pascal GPU architecture (2016) and Volta architecture (2017) positioned NVIDIA at the forefront of AI and machine learning. These GPUs became the backbone of AI research and commercial applications.</w:t>
      </w:r>
    </w:p>
    <w:p w14:paraId="649806D2" w14:textId="77777777" w:rsidR="00883BFC" w:rsidRPr="00883BFC" w:rsidRDefault="00883BFC" w:rsidP="00883BFC">
      <w:pPr>
        <w:numPr>
          <w:ilvl w:val="0"/>
          <w:numId w:val="2"/>
        </w:numPr>
      </w:pPr>
      <w:r w:rsidRPr="00883BFC">
        <w:rPr>
          <w:b/>
          <w:bCs/>
        </w:rPr>
        <w:t xml:space="preserve">Data </w:t>
      </w:r>
      <w:proofErr w:type="spellStart"/>
      <w:r w:rsidRPr="00883BFC">
        <w:rPr>
          <w:b/>
          <w:bCs/>
        </w:rPr>
        <w:t>Center</w:t>
      </w:r>
      <w:proofErr w:type="spellEnd"/>
      <w:r w:rsidRPr="00883BFC">
        <w:rPr>
          <w:b/>
          <w:bCs/>
        </w:rPr>
        <w:t xml:space="preserve"> Expansion</w:t>
      </w:r>
      <w:r w:rsidRPr="00883BFC">
        <w:t xml:space="preserve">: NVIDIA’s data </w:t>
      </w:r>
      <w:proofErr w:type="spellStart"/>
      <w:r w:rsidRPr="00883BFC">
        <w:t>center</w:t>
      </w:r>
      <w:proofErr w:type="spellEnd"/>
      <w:r w:rsidRPr="00883BFC">
        <w:t xml:space="preserve"> segment grew significantly, driven by demand from </w:t>
      </w:r>
      <w:proofErr w:type="spellStart"/>
      <w:r w:rsidRPr="00883BFC">
        <w:t>hyperscalers</w:t>
      </w:r>
      <w:proofErr w:type="spellEnd"/>
      <w:r w:rsidRPr="00883BFC">
        <w:t xml:space="preserve"> like Amazon, Microsoft, and Google. The Tesla V100 GPU became a critical component for AI workloads.</w:t>
      </w:r>
    </w:p>
    <w:p w14:paraId="374A8839" w14:textId="77777777" w:rsidR="00883BFC" w:rsidRPr="00883BFC" w:rsidRDefault="00883BFC" w:rsidP="00883BFC">
      <w:pPr>
        <w:numPr>
          <w:ilvl w:val="0"/>
          <w:numId w:val="2"/>
        </w:numPr>
      </w:pPr>
      <w:r w:rsidRPr="00883BFC">
        <w:rPr>
          <w:b/>
          <w:bCs/>
        </w:rPr>
        <w:t>Gaming Innovations</w:t>
      </w:r>
      <w:r w:rsidRPr="00883BFC">
        <w:t>: Ray tracing technology was introduced with the RTX 20-series GPUs (2018), revolutionizing real-time rendering.</w:t>
      </w:r>
    </w:p>
    <w:p w14:paraId="4158B5B1" w14:textId="77777777" w:rsidR="00883BFC" w:rsidRPr="00883BFC" w:rsidRDefault="00883BFC" w:rsidP="00883BFC">
      <w:pPr>
        <w:numPr>
          <w:ilvl w:val="0"/>
          <w:numId w:val="2"/>
        </w:numPr>
      </w:pPr>
      <w:r w:rsidRPr="00883BFC">
        <w:rPr>
          <w:b/>
          <w:bCs/>
        </w:rPr>
        <w:t>Autonomous Vehicles</w:t>
      </w:r>
      <w:r w:rsidRPr="00883BFC">
        <w:t>: NVIDIA’s DRIVE platform gained traction with automakers for autonomous vehicle development.</w:t>
      </w:r>
    </w:p>
    <w:p w14:paraId="033F2FFB" w14:textId="77777777" w:rsidR="00883BFC" w:rsidRPr="00883BFC" w:rsidRDefault="00883BFC" w:rsidP="00883BFC">
      <w:pPr>
        <w:rPr>
          <w:b/>
          <w:bCs/>
        </w:rPr>
      </w:pPr>
      <w:r w:rsidRPr="00883BFC">
        <w:rPr>
          <w:b/>
          <w:bCs/>
        </w:rPr>
        <w:t>2021-2025: Leadership in AI and Beyond</w:t>
      </w:r>
    </w:p>
    <w:p w14:paraId="2A205A25" w14:textId="77777777" w:rsidR="00883BFC" w:rsidRPr="00883BFC" w:rsidRDefault="00883BFC" w:rsidP="00883BFC">
      <w:pPr>
        <w:numPr>
          <w:ilvl w:val="0"/>
          <w:numId w:val="3"/>
        </w:numPr>
      </w:pPr>
      <w:r w:rsidRPr="00883BFC">
        <w:rPr>
          <w:b/>
          <w:bCs/>
        </w:rPr>
        <w:t>AI Dominance</w:t>
      </w:r>
      <w:r w:rsidRPr="00883BFC">
        <w:t>: The Ampere architecture (2020) and Hopper architecture (2022) further cemented NVIDIA’s leadership in AI acceleration. Its GPUs became essential for training large language models and generative AI systems.</w:t>
      </w:r>
    </w:p>
    <w:p w14:paraId="362F0C7E" w14:textId="77777777" w:rsidR="00883BFC" w:rsidRPr="00883BFC" w:rsidRDefault="00883BFC" w:rsidP="00883BFC">
      <w:pPr>
        <w:numPr>
          <w:ilvl w:val="0"/>
          <w:numId w:val="3"/>
        </w:numPr>
      </w:pPr>
      <w:r w:rsidRPr="00883BFC">
        <w:rPr>
          <w:b/>
          <w:bCs/>
        </w:rPr>
        <w:t>Gaming Growth</w:t>
      </w:r>
      <w:r w:rsidRPr="00883BFC">
        <w:t>: Despite competition, NVIDIA’s GeForce RTX series continued to dominate the gaming GPU market.</w:t>
      </w:r>
    </w:p>
    <w:p w14:paraId="45FF2074" w14:textId="77777777" w:rsidR="00883BFC" w:rsidRPr="00883BFC" w:rsidRDefault="00883BFC" w:rsidP="00883BFC">
      <w:pPr>
        <w:numPr>
          <w:ilvl w:val="0"/>
          <w:numId w:val="3"/>
        </w:numPr>
      </w:pPr>
      <w:r w:rsidRPr="00883BFC">
        <w:rPr>
          <w:b/>
          <w:bCs/>
        </w:rPr>
        <w:t>Enterprise Expansion</w:t>
      </w:r>
      <w:r w:rsidRPr="00883BFC">
        <w:t>: NVIDIA’s Omniverse platform enabled enterprise solutions for digital twins and simulations, diversifying its revenue streams.</w:t>
      </w:r>
    </w:p>
    <w:p w14:paraId="678CE472" w14:textId="77777777" w:rsidR="00883BFC" w:rsidRPr="00883BFC" w:rsidRDefault="00883BFC" w:rsidP="00883BFC">
      <w:pPr>
        <w:numPr>
          <w:ilvl w:val="0"/>
          <w:numId w:val="3"/>
        </w:numPr>
      </w:pPr>
      <w:r w:rsidRPr="00883BFC">
        <w:rPr>
          <w:b/>
          <w:bCs/>
        </w:rPr>
        <w:t>Mergers and Acquisitions</w:t>
      </w:r>
      <w:r w:rsidRPr="00883BFC">
        <w:t>: Notable efforts included the failed acquisition of ARM in 2022, which faced regulatory hurdles. NVIDIA instead focused on organic growth and partnerships.</w:t>
      </w:r>
    </w:p>
    <w:p w14:paraId="2324CF3E" w14:textId="77777777" w:rsidR="00883BFC" w:rsidRPr="00883BFC" w:rsidRDefault="00883BFC" w:rsidP="00883BFC">
      <w:pPr>
        <w:numPr>
          <w:ilvl w:val="0"/>
          <w:numId w:val="3"/>
        </w:numPr>
      </w:pPr>
      <w:r w:rsidRPr="00883BFC">
        <w:rPr>
          <w:b/>
          <w:bCs/>
        </w:rPr>
        <w:lastRenderedPageBreak/>
        <w:t>Stock Performance</w:t>
      </w:r>
      <w:r w:rsidRPr="00883BFC">
        <w:t>: NVIDIA’s market capitalization surged, reflecting its critical role in AI and computing industries. By 2025, it was widely regarded as one of the world’s most valuable tech companies.</w:t>
      </w:r>
    </w:p>
    <w:p w14:paraId="562F5198" w14:textId="77777777" w:rsidR="00883BFC" w:rsidRPr="00883BFC" w:rsidRDefault="00000000" w:rsidP="00883BFC">
      <w:r>
        <w:pict w14:anchorId="63A64F39">
          <v:rect id="_x0000_i1026" style="width:0;height:1.5pt" o:hralign="center" o:hrstd="t" o:hr="t" fillcolor="#a0a0a0" stroked="f"/>
        </w:pict>
      </w:r>
    </w:p>
    <w:p w14:paraId="705A066A" w14:textId="77777777" w:rsidR="00883BFC" w:rsidRPr="00883BFC" w:rsidRDefault="00883BFC" w:rsidP="00883BFC">
      <w:pPr>
        <w:rPr>
          <w:b/>
          <w:bCs/>
        </w:rPr>
      </w:pPr>
      <w:r w:rsidRPr="00883BFC">
        <w:rPr>
          <w:b/>
          <w:bCs/>
        </w:rPr>
        <w:t>2. Corporate Governance Review</w:t>
      </w:r>
    </w:p>
    <w:p w14:paraId="48B4F450" w14:textId="77777777" w:rsidR="00883BFC" w:rsidRPr="00883BFC" w:rsidRDefault="00883BFC" w:rsidP="00883BFC">
      <w:r w:rsidRPr="00883BFC">
        <w:t>NVIDIA is known for maintaining strong corporate governance practices that emphasize transparency, ethical leadership, and accountability. Key aspects include:</w:t>
      </w:r>
    </w:p>
    <w:p w14:paraId="610D78CD" w14:textId="77777777" w:rsidR="00883BFC" w:rsidRPr="00883BFC" w:rsidRDefault="00883BFC" w:rsidP="00883BFC">
      <w:pPr>
        <w:rPr>
          <w:b/>
          <w:bCs/>
        </w:rPr>
      </w:pPr>
      <w:r w:rsidRPr="00883BFC">
        <w:rPr>
          <w:b/>
          <w:bCs/>
        </w:rPr>
        <w:t>Board of Directors</w:t>
      </w:r>
    </w:p>
    <w:p w14:paraId="5CE04536" w14:textId="77777777" w:rsidR="00883BFC" w:rsidRPr="00883BFC" w:rsidRDefault="00883BFC" w:rsidP="00883BFC">
      <w:pPr>
        <w:numPr>
          <w:ilvl w:val="0"/>
          <w:numId w:val="4"/>
        </w:numPr>
      </w:pPr>
      <w:r w:rsidRPr="00883BFC">
        <w:rPr>
          <w:b/>
          <w:bCs/>
        </w:rPr>
        <w:t>Composition</w:t>
      </w:r>
      <w:r w:rsidRPr="00883BFC">
        <w:t xml:space="preserve">: NVIDIA’s board comprises </w:t>
      </w:r>
      <w:proofErr w:type="gramStart"/>
      <w:r w:rsidRPr="00883BFC">
        <w:t>a majority of</w:t>
      </w:r>
      <w:proofErr w:type="gramEnd"/>
      <w:r w:rsidRPr="00883BFC">
        <w:t xml:space="preserve"> independent directors with diverse expertise in technology, finance, and business strategy.</w:t>
      </w:r>
    </w:p>
    <w:p w14:paraId="22CC024F" w14:textId="77777777" w:rsidR="00883BFC" w:rsidRPr="00883BFC" w:rsidRDefault="00883BFC" w:rsidP="00883BFC">
      <w:pPr>
        <w:numPr>
          <w:ilvl w:val="0"/>
          <w:numId w:val="4"/>
        </w:numPr>
      </w:pPr>
      <w:r w:rsidRPr="00883BFC">
        <w:rPr>
          <w:b/>
          <w:bCs/>
        </w:rPr>
        <w:t>Leadership</w:t>
      </w:r>
      <w:r w:rsidRPr="00883BFC">
        <w:t>: Jensen Huang, co-founder and CEO, has been pivotal in shaping NVIDIA’s vision and growth. The board ensures an effective balance between executive and independent oversight.</w:t>
      </w:r>
    </w:p>
    <w:p w14:paraId="07815470" w14:textId="77777777" w:rsidR="00883BFC" w:rsidRPr="00883BFC" w:rsidRDefault="00883BFC" w:rsidP="00883BFC">
      <w:pPr>
        <w:numPr>
          <w:ilvl w:val="0"/>
          <w:numId w:val="4"/>
        </w:numPr>
      </w:pPr>
      <w:r w:rsidRPr="00883BFC">
        <w:rPr>
          <w:b/>
          <w:bCs/>
        </w:rPr>
        <w:t>Committees</w:t>
      </w:r>
      <w:r w:rsidRPr="00883BFC">
        <w:t>: The board operates through key committees, including audit, compensation, and corporate governance and nominating committees, each led by independent directors.</w:t>
      </w:r>
    </w:p>
    <w:p w14:paraId="079107F6" w14:textId="77777777" w:rsidR="00883BFC" w:rsidRPr="00883BFC" w:rsidRDefault="00883BFC" w:rsidP="00883BFC">
      <w:pPr>
        <w:rPr>
          <w:b/>
          <w:bCs/>
        </w:rPr>
      </w:pPr>
      <w:r w:rsidRPr="00883BFC">
        <w:rPr>
          <w:b/>
          <w:bCs/>
        </w:rPr>
        <w:t>Ethics and Transparency</w:t>
      </w:r>
    </w:p>
    <w:p w14:paraId="61EB0F7A" w14:textId="77777777" w:rsidR="00883BFC" w:rsidRPr="00883BFC" w:rsidRDefault="00883BFC" w:rsidP="00883BFC">
      <w:pPr>
        <w:numPr>
          <w:ilvl w:val="0"/>
          <w:numId w:val="5"/>
        </w:numPr>
      </w:pPr>
      <w:r w:rsidRPr="00883BFC">
        <w:rPr>
          <w:b/>
          <w:bCs/>
        </w:rPr>
        <w:t>Code of Conduct</w:t>
      </w:r>
      <w:r w:rsidRPr="00883BFC">
        <w:t>: NVIDIA’s Code of Ethics outlines the firm’s commitment to fair business practices, compliance with regulations, and stakeholder trust.</w:t>
      </w:r>
    </w:p>
    <w:p w14:paraId="11BDB47C" w14:textId="77777777" w:rsidR="00883BFC" w:rsidRPr="00883BFC" w:rsidRDefault="00883BFC" w:rsidP="00883BFC">
      <w:pPr>
        <w:numPr>
          <w:ilvl w:val="0"/>
          <w:numId w:val="5"/>
        </w:numPr>
      </w:pPr>
      <w:r w:rsidRPr="00883BFC">
        <w:rPr>
          <w:b/>
          <w:bCs/>
        </w:rPr>
        <w:t>ESG Initiatives</w:t>
      </w:r>
      <w:r w:rsidRPr="00883BFC">
        <w:t>: NVIDIA has enhanced its focus on environmental, social, and governance (ESG) practices. It aims to achieve carbon neutrality in operations and invests heavily in renewable energy and efficient chip designs.</w:t>
      </w:r>
    </w:p>
    <w:p w14:paraId="35C1A182" w14:textId="77777777" w:rsidR="00883BFC" w:rsidRPr="00883BFC" w:rsidRDefault="00883BFC" w:rsidP="00883BFC">
      <w:pPr>
        <w:rPr>
          <w:b/>
          <w:bCs/>
        </w:rPr>
      </w:pPr>
      <w:r w:rsidRPr="00883BFC">
        <w:rPr>
          <w:b/>
          <w:bCs/>
        </w:rPr>
        <w:t>Executive Compensation</w:t>
      </w:r>
    </w:p>
    <w:p w14:paraId="605DD55C" w14:textId="77777777" w:rsidR="00883BFC" w:rsidRPr="00883BFC" w:rsidRDefault="00883BFC" w:rsidP="00883BFC">
      <w:pPr>
        <w:numPr>
          <w:ilvl w:val="0"/>
          <w:numId w:val="6"/>
        </w:numPr>
      </w:pPr>
      <w:r w:rsidRPr="00883BFC">
        <w:t>NVIDIA’s executive compensation policies are performance-driven, aligning leadership incentives with shareholder value creation. Equity-based compensation is a significant component, fostering long-term commitment.</w:t>
      </w:r>
    </w:p>
    <w:p w14:paraId="0ACF2229" w14:textId="77777777" w:rsidR="00883BFC" w:rsidRPr="00883BFC" w:rsidRDefault="00883BFC" w:rsidP="00883BFC">
      <w:pPr>
        <w:rPr>
          <w:b/>
          <w:bCs/>
        </w:rPr>
      </w:pPr>
      <w:r w:rsidRPr="00883BFC">
        <w:rPr>
          <w:b/>
          <w:bCs/>
        </w:rPr>
        <w:t>Shareholder Engagement</w:t>
      </w:r>
    </w:p>
    <w:p w14:paraId="475E3C69" w14:textId="77777777" w:rsidR="00883BFC" w:rsidRPr="00883BFC" w:rsidRDefault="00883BFC" w:rsidP="00883BFC">
      <w:pPr>
        <w:numPr>
          <w:ilvl w:val="0"/>
          <w:numId w:val="7"/>
        </w:numPr>
      </w:pPr>
      <w:r w:rsidRPr="00883BFC">
        <w:t>The company regularly engages with institutional and retail investors, addressing concerns and incorporating feedback into its strategies. Proxy statements highlight shareholder voting outcomes and governance updates.</w:t>
      </w:r>
    </w:p>
    <w:p w14:paraId="054066DC" w14:textId="77777777" w:rsidR="00883BFC" w:rsidRPr="00883BFC" w:rsidRDefault="00883BFC" w:rsidP="00883BFC">
      <w:pPr>
        <w:rPr>
          <w:b/>
          <w:bCs/>
        </w:rPr>
      </w:pPr>
      <w:r w:rsidRPr="00883BFC">
        <w:rPr>
          <w:b/>
          <w:bCs/>
        </w:rPr>
        <w:t>Risk Management</w:t>
      </w:r>
    </w:p>
    <w:p w14:paraId="12B6A9D1" w14:textId="77777777" w:rsidR="00883BFC" w:rsidRPr="00883BFC" w:rsidRDefault="00883BFC" w:rsidP="00883BFC">
      <w:pPr>
        <w:numPr>
          <w:ilvl w:val="0"/>
          <w:numId w:val="8"/>
        </w:numPr>
      </w:pPr>
      <w:r w:rsidRPr="00883BFC">
        <w:t>NVIDIA’s governance framework includes robust risk management processes, particularly concerning cybersecurity, supply chain dependencies, and geopolitical issues.</w:t>
      </w:r>
    </w:p>
    <w:p w14:paraId="049D6AA1" w14:textId="77777777" w:rsidR="00883BFC" w:rsidRPr="00883BFC" w:rsidRDefault="00000000" w:rsidP="00883BFC">
      <w:r>
        <w:pict w14:anchorId="7E3A3537">
          <v:rect id="_x0000_i1027" style="width:0;height:1.5pt" o:hralign="center" o:hrstd="t" o:hr="t" fillcolor="#a0a0a0" stroked="f"/>
        </w:pict>
      </w:r>
    </w:p>
    <w:p w14:paraId="261062B4" w14:textId="77777777" w:rsidR="00883BFC" w:rsidRPr="00883BFC" w:rsidRDefault="00883BFC" w:rsidP="00883BFC">
      <w:pPr>
        <w:rPr>
          <w:b/>
          <w:bCs/>
        </w:rPr>
      </w:pPr>
      <w:r w:rsidRPr="00883BFC">
        <w:rPr>
          <w:b/>
          <w:bCs/>
        </w:rPr>
        <w:t>3. Financial Performance Analysis</w:t>
      </w:r>
    </w:p>
    <w:p w14:paraId="5DA7606A" w14:textId="77777777" w:rsidR="00883BFC" w:rsidRPr="00883BFC" w:rsidRDefault="00883BFC" w:rsidP="00883BFC">
      <w:pPr>
        <w:rPr>
          <w:b/>
          <w:bCs/>
        </w:rPr>
      </w:pPr>
      <w:r w:rsidRPr="00883BFC">
        <w:rPr>
          <w:b/>
          <w:bCs/>
        </w:rPr>
        <w:t>Profitability Ratios</w:t>
      </w:r>
    </w:p>
    <w:p w14:paraId="792AB838" w14:textId="77777777" w:rsidR="00883BFC" w:rsidRPr="00883BFC" w:rsidRDefault="00883BFC" w:rsidP="00883BFC">
      <w:pPr>
        <w:numPr>
          <w:ilvl w:val="0"/>
          <w:numId w:val="9"/>
        </w:numPr>
      </w:pPr>
      <w:r w:rsidRPr="00883BFC">
        <w:rPr>
          <w:b/>
          <w:bCs/>
        </w:rPr>
        <w:lastRenderedPageBreak/>
        <w:t>Gross Profit Margin</w:t>
      </w:r>
      <w:r w:rsidRPr="00883BFC">
        <w:t>: NVIDIA consistently maintained a gross profit margin above industry averages, reflecting its pricing power and efficiency. Between 2020 and 2025, the gross margin ranged from 62% to 67%.</w:t>
      </w:r>
    </w:p>
    <w:p w14:paraId="76EA23E4" w14:textId="77777777" w:rsidR="00883BFC" w:rsidRPr="00883BFC" w:rsidRDefault="00883BFC" w:rsidP="00883BFC">
      <w:pPr>
        <w:numPr>
          <w:ilvl w:val="0"/>
          <w:numId w:val="9"/>
        </w:numPr>
      </w:pPr>
      <w:r w:rsidRPr="00883BFC">
        <w:rPr>
          <w:b/>
          <w:bCs/>
        </w:rPr>
        <w:t>Operating Margin</w:t>
      </w:r>
      <w:r w:rsidRPr="00883BFC">
        <w:t xml:space="preserve">: NVIDIA’s operating margin exceeded 30%, driven by high-margin AI and data </w:t>
      </w:r>
      <w:proofErr w:type="spellStart"/>
      <w:r w:rsidRPr="00883BFC">
        <w:t>center</w:t>
      </w:r>
      <w:proofErr w:type="spellEnd"/>
      <w:r w:rsidRPr="00883BFC">
        <w:t xml:space="preserve"> products.</w:t>
      </w:r>
    </w:p>
    <w:p w14:paraId="0F6FE33C" w14:textId="77777777" w:rsidR="00883BFC" w:rsidRPr="00883BFC" w:rsidRDefault="00883BFC" w:rsidP="00883BFC">
      <w:pPr>
        <w:numPr>
          <w:ilvl w:val="0"/>
          <w:numId w:val="9"/>
        </w:numPr>
      </w:pPr>
      <w:r w:rsidRPr="00883BFC">
        <w:rPr>
          <w:b/>
          <w:bCs/>
        </w:rPr>
        <w:t>Net Profit Margin</w:t>
      </w:r>
      <w:r w:rsidRPr="00883BFC">
        <w:t>: NVIDIA’s net profit margin grew steadily, surpassing 25% by 2025, significantly higher than its competitors.</w:t>
      </w:r>
    </w:p>
    <w:p w14:paraId="526D1C95" w14:textId="77777777" w:rsidR="00883BFC" w:rsidRPr="00883BFC" w:rsidRDefault="00883BFC" w:rsidP="00883BFC">
      <w:pPr>
        <w:rPr>
          <w:b/>
          <w:bCs/>
        </w:rPr>
      </w:pPr>
      <w:r w:rsidRPr="00883BFC">
        <w:rPr>
          <w:b/>
          <w:bCs/>
        </w:rPr>
        <w:t>Growth Metrics</w:t>
      </w:r>
    </w:p>
    <w:p w14:paraId="3EEE6B47" w14:textId="77777777" w:rsidR="00883BFC" w:rsidRPr="00883BFC" w:rsidRDefault="00883BFC" w:rsidP="00883BFC">
      <w:pPr>
        <w:numPr>
          <w:ilvl w:val="0"/>
          <w:numId w:val="10"/>
        </w:numPr>
      </w:pPr>
      <w:r w:rsidRPr="00883BFC">
        <w:rPr>
          <w:b/>
          <w:bCs/>
        </w:rPr>
        <w:t>Revenue Growth</w:t>
      </w:r>
      <w:r w:rsidRPr="00883BFC">
        <w:t xml:space="preserve">: NVIDIA achieved a compound annual growth rate (CAGR) of 22% between 2010 and 2025, </w:t>
      </w:r>
      <w:proofErr w:type="spellStart"/>
      <w:r w:rsidRPr="00883BFC">
        <w:t>fueled</w:t>
      </w:r>
      <w:proofErr w:type="spellEnd"/>
      <w:r w:rsidRPr="00883BFC">
        <w:t xml:space="preserve"> by its dominance in AI, gaming, and data </w:t>
      </w:r>
      <w:proofErr w:type="spellStart"/>
      <w:r w:rsidRPr="00883BFC">
        <w:t>centers</w:t>
      </w:r>
      <w:proofErr w:type="spellEnd"/>
      <w:r w:rsidRPr="00883BFC">
        <w:t>.</w:t>
      </w:r>
    </w:p>
    <w:p w14:paraId="5B9652E4" w14:textId="77777777" w:rsidR="00883BFC" w:rsidRPr="00883BFC" w:rsidRDefault="00883BFC" w:rsidP="00883BFC">
      <w:pPr>
        <w:numPr>
          <w:ilvl w:val="0"/>
          <w:numId w:val="10"/>
        </w:numPr>
      </w:pPr>
      <w:r w:rsidRPr="00883BFC">
        <w:rPr>
          <w:b/>
          <w:bCs/>
        </w:rPr>
        <w:t>Earnings Per Share (EPS) Growth</w:t>
      </w:r>
      <w:r w:rsidRPr="00883BFC">
        <w:t>: The EPS growth rate mirrored revenue growth, with EPS increasing from $1.18 in 2010 to over $15.00 by 2025.</w:t>
      </w:r>
    </w:p>
    <w:p w14:paraId="30F6D556" w14:textId="77777777" w:rsidR="00883BFC" w:rsidRPr="00883BFC" w:rsidRDefault="00883BFC" w:rsidP="00883BFC">
      <w:pPr>
        <w:rPr>
          <w:b/>
          <w:bCs/>
        </w:rPr>
      </w:pPr>
      <w:r w:rsidRPr="00883BFC">
        <w:rPr>
          <w:b/>
          <w:bCs/>
        </w:rPr>
        <w:t>Liquidity and Solvency</w:t>
      </w:r>
    </w:p>
    <w:p w14:paraId="08631C49" w14:textId="77777777" w:rsidR="00883BFC" w:rsidRPr="00883BFC" w:rsidRDefault="00883BFC" w:rsidP="00883BFC">
      <w:pPr>
        <w:numPr>
          <w:ilvl w:val="0"/>
          <w:numId w:val="11"/>
        </w:numPr>
      </w:pPr>
      <w:r w:rsidRPr="00883BFC">
        <w:rPr>
          <w:b/>
          <w:bCs/>
        </w:rPr>
        <w:t>Current Ratio</w:t>
      </w:r>
      <w:r w:rsidRPr="00883BFC">
        <w:t>: NVIDIA maintained a healthy current ratio above 2.0, demonstrating strong short-term liquidity.</w:t>
      </w:r>
    </w:p>
    <w:p w14:paraId="5D40E067" w14:textId="77777777" w:rsidR="00883BFC" w:rsidRPr="00883BFC" w:rsidRDefault="00883BFC" w:rsidP="00883BFC">
      <w:pPr>
        <w:numPr>
          <w:ilvl w:val="0"/>
          <w:numId w:val="11"/>
        </w:numPr>
      </w:pPr>
      <w:r w:rsidRPr="00883BFC">
        <w:rPr>
          <w:b/>
          <w:bCs/>
        </w:rPr>
        <w:t>Debt-to-Equity Ratio</w:t>
      </w:r>
      <w:r w:rsidRPr="00883BFC">
        <w:t>: While NVIDIA utilized debt to fund strategic investments, its debt-to-equity ratio remained below 0.5, reflecting prudent financial management.</w:t>
      </w:r>
    </w:p>
    <w:p w14:paraId="1CEDBEFD" w14:textId="77777777" w:rsidR="00883BFC" w:rsidRPr="00883BFC" w:rsidRDefault="00883BFC" w:rsidP="00883BFC">
      <w:pPr>
        <w:rPr>
          <w:b/>
          <w:bCs/>
        </w:rPr>
      </w:pPr>
      <w:r w:rsidRPr="00883BFC">
        <w:rPr>
          <w:b/>
          <w:bCs/>
        </w:rPr>
        <w:t>Valuation Metrics</w:t>
      </w:r>
    </w:p>
    <w:p w14:paraId="67C4B524" w14:textId="77777777" w:rsidR="00883BFC" w:rsidRPr="00883BFC" w:rsidRDefault="00883BFC" w:rsidP="00883BFC">
      <w:pPr>
        <w:numPr>
          <w:ilvl w:val="0"/>
          <w:numId w:val="12"/>
        </w:numPr>
      </w:pPr>
      <w:r w:rsidRPr="00883BFC">
        <w:rPr>
          <w:b/>
          <w:bCs/>
        </w:rPr>
        <w:t>Price-to-Earnings (P/E) Ratio</w:t>
      </w:r>
      <w:r w:rsidRPr="00883BFC">
        <w:t>: NVIDIA traded at a premium compared to industry peers, with a P/E ratio ranging from 40x to 60x during 2020-2025, reflecting strong investor confidence in its growth prospects.</w:t>
      </w:r>
    </w:p>
    <w:p w14:paraId="00661FFE" w14:textId="77777777" w:rsidR="00883BFC" w:rsidRPr="00883BFC" w:rsidRDefault="00883BFC" w:rsidP="00883BFC">
      <w:pPr>
        <w:numPr>
          <w:ilvl w:val="0"/>
          <w:numId w:val="12"/>
        </w:numPr>
      </w:pPr>
      <w:r w:rsidRPr="00883BFC">
        <w:rPr>
          <w:b/>
          <w:bCs/>
        </w:rPr>
        <w:t>EV/EBITDA</w:t>
      </w:r>
      <w:r w:rsidRPr="00883BFC">
        <w:t>: The EV/EBITDA ratio consistently remained above 25x, indicative of high valuation multiples for high-growth companies.</w:t>
      </w:r>
    </w:p>
    <w:p w14:paraId="68E5F4B0" w14:textId="77777777" w:rsidR="00883BFC" w:rsidRPr="00883BFC" w:rsidRDefault="00883BFC" w:rsidP="00883BFC">
      <w:pPr>
        <w:rPr>
          <w:b/>
          <w:bCs/>
        </w:rPr>
      </w:pPr>
      <w:r w:rsidRPr="00883BFC">
        <w:rPr>
          <w:b/>
          <w:bCs/>
        </w:rPr>
        <w:t>Efficiency Ratios</w:t>
      </w:r>
    </w:p>
    <w:p w14:paraId="58E90497" w14:textId="77777777" w:rsidR="00883BFC" w:rsidRPr="00883BFC" w:rsidRDefault="00883BFC" w:rsidP="00883BFC">
      <w:pPr>
        <w:numPr>
          <w:ilvl w:val="0"/>
          <w:numId w:val="13"/>
        </w:numPr>
      </w:pPr>
      <w:r w:rsidRPr="00883BFC">
        <w:rPr>
          <w:b/>
          <w:bCs/>
        </w:rPr>
        <w:t>Asset Turnover</w:t>
      </w:r>
      <w:r w:rsidRPr="00883BFC">
        <w:t>: NVIDIA’s asset turnover ratio hovered around 0.6x, reflecting its capital-intensive business model.</w:t>
      </w:r>
    </w:p>
    <w:p w14:paraId="7E61F85B" w14:textId="77777777" w:rsidR="00883BFC" w:rsidRPr="00883BFC" w:rsidRDefault="00883BFC" w:rsidP="00883BFC">
      <w:pPr>
        <w:numPr>
          <w:ilvl w:val="0"/>
          <w:numId w:val="13"/>
        </w:numPr>
      </w:pPr>
      <w:r w:rsidRPr="00883BFC">
        <w:rPr>
          <w:b/>
          <w:bCs/>
        </w:rPr>
        <w:t>Inventory Turnover</w:t>
      </w:r>
      <w:r w:rsidRPr="00883BFC">
        <w:t>: Inventory turnover improved with advancements in supply chain efficiency, stabilizing at 5.0x by 2025.</w:t>
      </w:r>
    </w:p>
    <w:p w14:paraId="0F81C3A8" w14:textId="77777777" w:rsidR="00883BFC" w:rsidRPr="00883BFC" w:rsidRDefault="00883BFC" w:rsidP="00883BFC">
      <w:pPr>
        <w:rPr>
          <w:b/>
          <w:bCs/>
        </w:rPr>
      </w:pPr>
      <w:r w:rsidRPr="00883BFC">
        <w:rPr>
          <w:b/>
          <w:bCs/>
        </w:rPr>
        <w:t>Comparison with Competitors</w:t>
      </w:r>
    </w:p>
    <w:p w14:paraId="003BBC9B" w14:textId="77777777" w:rsidR="00883BFC" w:rsidRPr="00883BFC" w:rsidRDefault="00883BFC" w:rsidP="00883BFC">
      <w:pPr>
        <w:numPr>
          <w:ilvl w:val="0"/>
          <w:numId w:val="14"/>
        </w:numPr>
      </w:pPr>
      <w:r w:rsidRPr="00883BFC">
        <w:t xml:space="preserve">NVIDIA consistently outperformed competitors like AMD and Intel in profitability metrics, driven by its leadership in AI and data </w:t>
      </w:r>
      <w:proofErr w:type="spellStart"/>
      <w:r w:rsidRPr="00883BFC">
        <w:t>centers</w:t>
      </w:r>
      <w:proofErr w:type="spellEnd"/>
      <w:r w:rsidRPr="00883BFC">
        <w:t>.</w:t>
      </w:r>
    </w:p>
    <w:p w14:paraId="0EBF3F1C" w14:textId="77777777" w:rsidR="00883BFC" w:rsidRPr="00883BFC" w:rsidRDefault="00883BFC" w:rsidP="00883BFC">
      <w:pPr>
        <w:numPr>
          <w:ilvl w:val="0"/>
          <w:numId w:val="14"/>
        </w:numPr>
      </w:pPr>
      <w:r w:rsidRPr="00883BFC">
        <w:t>While AMD showed strong growth in gaming GPUs, NVIDIA’s diversification into enterprise solutions gave it a competitive edge.</w:t>
      </w:r>
    </w:p>
    <w:p w14:paraId="59E4BC82" w14:textId="77777777" w:rsidR="00883BFC" w:rsidRPr="00883BFC" w:rsidRDefault="00883BFC" w:rsidP="00883BFC">
      <w:pPr>
        <w:numPr>
          <w:ilvl w:val="0"/>
          <w:numId w:val="14"/>
        </w:numPr>
      </w:pPr>
      <w:r w:rsidRPr="00883BFC">
        <w:t>TSMC excelled in manufacturing efficiency, but NVIDIA’s innovation in GPU design allowed it to capture higher margins.</w:t>
      </w:r>
    </w:p>
    <w:p w14:paraId="3720BD4C" w14:textId="77777777" w:rsidR="00883BFC" w:rsidRPr="00883BFC" w:rsidRDefault="00883BFC" w:rsidP="00883BFC">
      <w:pPr>
        <w:rPr>
          <w:b/>
          <w:bCs/>
        </w:rPr>
      </w:pPr>
      <w:r w:rsidRPr="00883BFC">
        <w:rPr>
          <w:b/>
          <w:bCs/>
        </w:rPr>
        <w:t>Key Challenges</w:t>
      </w:r>
    </w:p>
    <w:p w14:paraId="7E0AD224" w14:textId="77777777" w:rsidR="00883BFC" w:rsidRPr="00883BFC" w:rsidRDefault="00883BFC" w:rsidP="00883BFC">
      <w:pPr>
        <w:numPr>
          <w:ilvl w:val="0"/>
          <w:numId w:val="15"/>
        </w:numPr>
      </w:pPr>
      <w:r w:rsidRPr="00883BFC">
        <w:rPr>
          <w:b/>
          <w:bCs/>
        </w:rPr>
        <w:lastRenderedPageBreak/>
        <w:t>Supply Chain Risks</w:t>
      </w:r>
      <w:r w:rsidRPr="00883BFC">
        <w:t>: Dependence on TSMC for chip manufacturing exposed NVIDIA to supply chain disruptions.</w:t>
      </w:r>
    </w:p>
    <w:p w14:paraId="002C9E80" w14:textId="77777777" w:rsidR="00883BFC" w:rsidRPr="00883BFC" w:rsidRDefault="00883BFC" w:rsidP="00883BFC">
      <w:pPr>
        <w:numPr>
          <w:ilvl w:val="0"/>
          <w:numId w:val="15"/>
        </w:numPr>
      </w:pPr>
      <w:r w:rsidRPr="00883BFC">
        <w:rPr>
          <w:b/>
          <w:bCs/>
        </w:rPr>
        <w:t>Geopolitical Tensions</w:t>
      </w:r>
      <w:r w:rsidRPr="00883BFC">
        <w:t>: U.S.-China trade conflicts posed risks to NVIDIA’s global operations.</w:t>
      </w:r>
    </w:p>
    <w:p w14:paraId="4AC94BDF" w14:textId="77777777" w:rsidR="00883BFC" w:rsidRPr="00883BFC" w:rsidRDefault="00883BFC" w:rsidP="00883BFC">
      <w:pPr>
        <w:numPr>
          <w:ilvl w:val="0"/>
          <w:numId w:val="15"/>
        </w:numPr>
      </w:pPr>
      <w:r w:rsidRPr="00883BFC">
        <w:rPr>
          <w:b/>
          <w:bCs/>
        </w:rPr>
        <w:t>Valuation Risks</w:t>
      </w:r>
      <w:r w:rsidRPr="00883BFC">
        <w:t>: High valuation multiples implied vulnerability to market corrections.</w:t>
      </w:r>
    </w:p>
    <w:p w14:paraId="27708CC5" w14:textId="77777777" w:rsidR="00883BFC" w:rsidRPr="00883BFC" w:rsidRDefault="00000000" w:rsidP="00883BFC">
      <w:r>
        <w:pict w14:anchorId="1A187452">
          <v:rect id="_x0000_i1028" style="width:0;height:1.5pt" o:hralign="center" o:hrstd="t" o:hr="t" fillcolor="#a0a0a0" stroked="f"/>
        </w:pict>
      </w:r>
    </w:p>
    <w:p w14:paraId="23D532DE" w14:textId="77777777" w:rsidR="00883BFC" w:rsidRPr="00883BFC" w:rsidRDefault="00883BFC" w:rsidP="00883BFC">
      <w:pPr>
        <w:rPr>
          <w:b/>
          <w:bCs/>
        </w:rPr>
      </w:pPr>
      <w:r w:rsidRPr="00883BFC">
        <w:rPr>
          <w:b/>
          <w:bCs/>
        </w:rPr>
        <w:t>4. Summary of Findings</w:t>
      </w:r>
    </w:p>
    <w:p w14:paraId="450D2532" w14:textId="77777777" w:rsidR="00883BFC" w:rsidRPr="00883BFC" w:rsidRDefault="00883BFC" w:rsidP="00883BFC">
      <w:r w:rsidRPr="00883BFC">
        <w:t xml:space="preserve">NVIDIA’s financial performance from 2010 to 2025 highlights its transformation into a dominant force in gaming, AI, and data </w:t>
      </w:r>
      <w:proofErr w:type="spellStart"/>
      <w:r w:rsidRPr="00883BFC">
        <w:t>centers</w:t>
      </w:r>
      <w:proofErr w:type="spellEnd"/>
      <w:r w:rsidRPr="00883BFC">
        <w:t>. The company’s profitability and growth metrics consistently outpaced industry averages, driven by innovation and strategic investments. Strong governance practices and a focus on ESG initiatives further bolster its reputation as a market leader. Despite challenges related to supply chains and geopolitical issues, NVIDIA remains well-positioned for sustained growth in the evolving tech landscape.</w:t>
      </w:r>
    </w:p>
    <w:p w14:paraId="30C6A216" w14:textId="77777777" w:rsidR="007B5B58" w:rsidRDefault="007B5B58" w:rsidP="007B5B58">
      <w:r>
        <w:t>**Financial Report Template**</w:t>
      </w:r>
    </w:p>
    <w:p w14:paraId="4F44EF7F" w14:textId="77777777" w:rsidR="007B5B58" w:rsidRDefault="007B5B58" w:rsidP="007B5B58"/>
    <w:p w14:paraId="22A4BC3F" w14:textId="77777777" w:rsidR="007B5B58" w:rsidRDefault="007B5B58" w:rsidP="007B5B58">
      <w:r>
        <w:t>---</w:t>
      </w:r>
    </w:p>
    <w:p w14:paraId="24D67FF3" w14:textId="77777777" w:rsidR="007B5B58" w:rsidRDefault="007B5B58" w:rsidP="007B5B58"/>
    <w:p w14:paraId="53F7568E" w14:textId="77777777" w:rsidR="007B5B58" w:rsidRDefault="007B5B58" w:rsidP="007B5B58">
      <w:r>
        <w:t>### **1. Executive Summary**</w:t>
      </w:r>
    </w:p>
    <w:p w14:paraId="52C07827" w14:textId="77777777" w:rsidR="007B5B58" w:rsidRDefault="007B5B58" w:rsidP="007B5B58">
      <w:r>
        <w:t>- Provide a concise summary of the report’s purpose, key findings, and major conclusions.</w:t>
      </w:r>
    </w:p>
    <w:p w14:paraId="3CCE3F98" w14:textId="77777777" w:rsidR="007B5B58" w:rsidRDefault="007B5B58" w:rsidP="007B5B58"/>
    <w:p w14:paraId="4F6A7260" w14:textId="77777777" w:rsidR="007B5B58" w:rsidRDefault="007B5B58" w:rsidP="007B5B58">
      <w:r>
        <w:t>---</w:t>
      </w:r>
    </w:p>
    <w:p w14:paraId="41B2A3A4" w14:textId="77777777" w:rsidR="007B5B58" w:rsidRDefault="007B5B58" w:rsidP="007B5B58"/>
    <w:p w14:paraId="7D3CB174" w14:textId="77777777" w:rsidR="007B5B58" w:rsidRDefault="007B5B58" w:rsidP="007B5B58">
      <w:r>
        <w:t>### **2. Business Overview**</w:t>
      </w:r>
    </w:p>
    <w:p w14:paraId="1C70980B" w14:textId="77777777" w:rsidR="007B5B58" w:rsidRDefault="007B5B58" w:rsidP="007B5B58">
      <w:r>
        <w:t>#### **Company Description**</w:t>
      </w:r>
    </w:p>
    <w:p w14:paraId="26859CDD" w14:textId="77777777" w:rsidR="007B5B58" w:rsidRDefault="007B5B58" w:rsidP="007B5B58">
      <w:r>
        <w:t>- Brief history of the company, including its foundation, headquarters, and core business areas.</w:t>
      </w:r>
    </w:p>
    <w:p w14:paraId="6EDF8CF8" w14:textId="77777777" w:rsidR="007B5B58" w:rsidRDefault="007B5B58" w:rsidP="007B5B58">
      <w:r>
        <w:t>- Key milestones or strategic shifts.</w:t>
      </w:r>
    </w:p>
    <w:p w14:paraId="112FF943" w14:textId="77777777" w:rsidR="007B5B58" w:rsidRDefault="007B5B58" w:rsidP="007B5B58"/>
    <w:p w14:paraId="787A39DB" w14:textId="77777777" w:rsidR="007B5B58" w:rsidRDefault="007B5B58" w:rsidP="007B5B58">
      <w:r>
        <w:t>#### **Industry Analysis**</w:t>
      </w:r>
    </w:p>
    <w:p w14:paraId="040A8172" w14:textId="77777777" w:rsidR="007B5B58" w:rsidRDefault="007B5B58" w:rsidP="007B5B58">
      <w:r>
        <w:t>- Overview of the industry landscape, major trends, and competitive positioning.</w:t>
      </w:r>
    </w:p>
    <w:p w14:paraId="2214A1B2" w14:textId="77777777" w:rsidR="007B5B58" w:rsidRDefault="007B5B58" w:rsidP="007B5B58">
      <w:r>
        <w:t>- Identify key competitors and market share insights.</w:t>
      </w:r>
    </w:p>
    <w:p w14:paraId="0C8BF4BF" w14:textId="77777777" w:rsidR="007B5B58" w:rsidRDefault="007B5B58" w:rsidP="007B5B58"/>
    <w:p w14:paraId="7038F702" w14:textId="77777777" w:rsidR="007B5B58" w:rsidRDefault="007B5B58" w:rsidP="007B5B58">
      <w:r>
        <w:t>---</w:t>
      </w:r>
    </w:p>
    <w:p w14:paraId="54690DB3" w14:textId="77777777" w:rsidR="007B5B58" w:rsidRDefault="007B5B58" w:rsidP="007B5B58"/>
    <w:p w14:paraId="5D3F5D2C" w14:textId="77777777" w:rsidR="007B5B58" w:rsidRDefault="007B5B58" w:rsidP="007B5B58">
      <w:r>
        <w:lastRenderedPageBreak/>
        <w:t>### **3. Financial Performance Analysis**</w:t>
      </w:r>
    </w:p>
    <w:p w14:paraId="62E65652" w14:textId="77777777" w:rsidR="007B5B58" w:rsidRDefault="007B5B58" w:rsidP="007B5B58">
      <w:r>
        <w:t>#### **Profitability Analysis**</w:t>
      </w:r>
    </w:p>
    <w:p w14:paraId="398A72DD" w14:textId="77777777" w:rsidR="007B5B58" w:rsidRDefault="007B5B58" w:rsidP="007B5B58">
      <w:r>
        <w:t>- Key metrics: Gross profit margin, operating margin, net profit margin.</w:t>
      </w:r>
    </w:p>
    <w:p w14:paraId="0F65516B" w14:textId="77777777" w:rsidR="007B5B58" w:rsidRDefault="007B5B58" w:rsidP="007B5B58">
      <w:r>
        <w:t>- Discussion of trends and comparison with industry averages.</w:t>
      </w:r>
    </w:p>
    <w:p w14:paraId="3CF13423" w14:textId="77777777" w:rsidR="007B5B58" w:rsidRDefault="007B5B58" w:rsidP="007B5B58"/>
    <w:p w14:paraId="0C69FA62" w14:textId="77777777" w:rsidR="007B5B58" w:rsidRDefault="007B5B58" w:rsidP="007B5B58">
      <w:r>
        <w:t>#### **Liquidity and Solvency Analysis**</w:t>
      </w:r>
    </w:p>
    <w:p w14:paraId="58B74902" w14:textId="77777777" w:rsidR="007B5B58" w:rsidRDefault="007B5B58" w:rsidP="007B5B58">
      <w:r>
        <w:t>- Key metrics: Current ratio, quick ratio, debt-to-equity ratio.</w:t>
      </w:r>
    </w:p>
    <w:p w14:paraId="0A78AF8A" w14:textId="77777777" w:rsidR="007B5B58" w:rsidRDefault="007B5B58" w:rsidP="007B5B58">
      <w:r>
        <w:t>- Insights into the company’s financial stability and risk exposure.</w:t>
      </w:r>
    </w:p>
    <w:p w14:paraId="52F3047E" w14:textId="77777777" w:rsidR="007B5B58" w:rsidRDefault="007B5B58" w:rsidP="007B5B58"/>
    <w:p w14:paraId="50003AED" w14:textId="77777777" w:rsidR="007B5B58" w:rsidRDefault="007B5B58" w:rsidP="007B5B58">
      <w:r>
        <w:t>#### **Efficiency Analysis**</w:t>
      </w:r>
    </w:p>
    <w:p w14:paraId="33E1782E" w14:textId="77777777" w:rsidR="007B5B58" w:rsidRDefault="007B5B58" w:rsidP="007B5B58">
      <w:r>
        <w:t>- Key metrics: Asset turnover, inventory turnover, accounts receivable turnover.</w:t>
      </w:r>
    </w:p>
    <w:p w14:paraId="6BCC4DA2" w14:textId="77777777" w:rsidR="007B5B58" w:rsidRDefault="007B5B58" w:rsidP="007B5B58">
      <w:r>
        <w:t>- Assessment of operational efficiency.</w:t>
      </w:r>
    </w:p>
    <w:p w14:paraId="17CB2049" w14:textId="77777777" w:rsidR="007B5B58" w:rsidRDefault="007B5B58" w:rsidP="007B5B58"/>
    <w:p w14:paraId="66A261AA" w14:textId="77777777" w:rsidR="007B5B58" w:rsidRDefault="007B5B58" w:rsidP="007B5B58">
      <w:r>
        <w:t>#### **Valuation Analysis**</w:t>
      </w:r>
    </w:p>
    <w:p w14:paraId="7E89AC18" w14:textId="77777777" w:rsidR="007B5B58" w:rsidRDefault="007B5B58" w:rsidP="007B5B58">
      <w:r>
        <w:t>- Key metrics: Price-to-earnings (P/E) ratio, EV/EBITDA, price-to-sales (P/S) ratio.</w:t>
      </w:r>
    </w:p>
    <w:p w14:paraId="029BFFCC" w14:textId="77777777" w:rsidR="007B5B58" w:rsidRDefault="007B5B58" w:rsidP="007B5B58">
      <w:r>
        <w:t>- Discussion of valuation trends and comparison with competitors.</w:t>
      </w:r>
    </w:p>
    <w:p w14:paraId="35B0D7F4" w14:textId="77777777" w:rsidR="007B5B58" w:rsidRDefault="007B5B58" w:rsidP="007B5B58"/>
    <w:p w14:paraId="5C5970E0" w14:textId="77777777" w:rsidR="007B5B58" w:rsidRDefault="007B5B58" w:rsidP="007B5B58">
      <w:r>
        <w:t>#### **Growth Metrics**</w:t>
      </w:r>
    </w:p>
    <w:p w14:paraId="6E4C2BEC" w14:textId="77777777" w:rsidR="007B5B58" w:rsidRDefault="007B5B58" w:rsidP="007B5B58">
      <w:r>
        <w:t>- Revenue growth, EPS growth, and any notable expansion efforts.</w:t>
      </w:r>
    </w:p>
    <w:p w14:paraId="7B3DE1CF" w14:textId="77777777" w:rsidR="007B5B58" w:rsidRDefault="007B5B58" w:rsidP="007B5B58"/>
    <w:p w14:paraId="100CC3C1" w14:textId="77777777" w:rsidR="007B5B58" w:rsidRDefault="007B5B58" w:rsidP="007B5B58">
      <w:r>
        <w:t>---</w:t>
      </w:r>
    </w:p>
    <w:p w14:paraId="54BE78D6" w14:textId="77777777" w:rsidR="007B5B58" w:rsidRDefault="007B5B58" w:rsidP="007B5B58"/>
    <w:p w14:paraId="2A2E8CA6" w14:textId="77777777" w:rsidR="007B5B58" w:rsidRDefault="007B5B58" w:rsidP="007B5B58">
      <w:r>
        <w:t>### **4. Corporate Governance Review**</w:t>
      </w:r>
    </w:p>
    <w:p w14:paraId="56D68D27" w14:textId="77777777" w:rsidR="007B5B58" w:rsidRDefault="007B5B58" w:rsidP="007B5B58">
      <w:r>
        <w:t>#### **Board Composition and Leadership**</w:t>
      </w:r>
    </w:p>
    <w:p w14:paraId="7FF1EAA1" w14:textId="77777777" w:rsidR="007B5B58" w:rsidRDefault="007B5B58" w:rsidP="007B5B58">
      <w:r>
        <w:t>- Overview of the board’s structure, diversity, and expertise.</w:t>
      </w:r>
    </w:p>
    <w:p w14:paraId="7EC31E0B" w14:textId="77777777" w:rsidR="007B5B58" w:rsidRDefault="007B5B58" w:rsidP="007B5B58">
      <w:r>
        <w:t>- Role of key executives in driving strategic initiatives.</w:t>
      </w:r>
    </w:p>
    <w:p w14:paraId="1E647A11" w14:textId="77777777" w:rsidR="007B5B58" w:rsidRDefault="007B5B58" w:rsidP="007B5B58"/>
    <w:p w14:paraId="0FABB193" w14:textId="77777777" w:rsidR="007B5B58" w:rsidRDefault="007B5B58" w:rsidP="007B5B58">
      <w:r>
        <w:t>#### **Ethics and Transparency**</w:t>
      </w:r>
    </w:p>
    <w:p w14:paraId="48C80E3F" w14:textId="77777777" w:rsidR="007B5B58" w:rsidRDefault="007B5B58" w:rsidP="007B5B58">
      <w:r>
        <w:t>- Code of conduct, ESG initiatives, and compliance practices.</w:t>
      </w:r>
    </w:p>
    <w:p w14:paraId="3DD7696B" w14:textId="77777777" w:rsidR="007B5B58" w:rsidRDefault="007B5B58" w:rsidP="007B5B58"/>
    <w:p w14:paraId="0BF4023E" w14:textId="77777777" w:rsidR="007B5B58" w:rsidRDefault="007B5B58" w:rsidP="007B5B58">
      <w:r>
        <w:t>#### **Risk Management**</w:t>
      </w:r>
    </w:p>
    <w:p w14:paraId="2B06CC3B" w14:textId="77777777" w:rsidR="007B5B58" w:rsidRDefault="007B5B58" w:rsidP="007B5B58">
      <w:r>
        <w:lastRenderedPageBreak/>
        <w:t>- Identification of major risks (e.g., supply chain, cybersecurity, geopolitical risks) and mitigation strategies.</w:t>
      </w:r>
    </w:p>
    <w:p w14:paraId="3ED5C6C1" w14:textId="77777777" w:rsidR="007B5B58" w:rsidRDefault="007B5B58" w:rsidP="007B5B58"/>
    <w:p w14:paraId="2A36B35B" w14:textId="77777777" w:rsidR="007B5B58" w:rsidRDefault="007B5B58" w:rsidP="007B5B58">
      <w:r>
        <w:t>---</w:t>
      </w:r>
    </w:p>
    <w:p w14:paraId="0F8B6A5A" w14:textId="77777777" w:rsidR="007B5B58" w:rsidRDefault="007B5B58" w:rsidP="007B5B58"/>
    <w:p w14:paraId="727BAC53" w14:textId="77777777" w:rsidR="007B5B58" w:rsidRDefault="007B5B58" w:rsidP="007B5B58">
      <w:r>
        <w:t>### **5. Comparative Analysis**</w:t>
      </w:r>
    </w:p>
    <w:p w14:paraId="0D8EDDBF" w14:textId="77777777" w:rsidR="007B5B58" w:rsidRDefault="007B5B58" w:rsidP="007B5B58">
      <w:r>
        <w:t>- Comparison of financial performance with key competitors.</w:t>
      </w:r>
    </w:p>
    <w:p w14:paraId="3CDDA9F3" w14:textId="77777777" w:rsidR="007B5B58" w:rsidRDefault="007B5B58" w:rsidP="007B5B58">
      <w:r>
        <w:t>- Highlight areas of strength and weakness relative to peers.</w:t>
      </w:r>
    </w:p>
    <w:p w14:paraId="1ECDA6A5" w14:textId="77777777" w:rsidR="007B5B58" w:rsidRDefault="007B5B58" w:rsidP="007B5B58"/>
    <w:p w14:paraId="527ED9D6" w14:textId="77777777" w:rsidR="007B5B58" w:rsidRDefault="007B5B58" w:rsidP="007B5B58">
      <w:r>
        <w:t>---</w:t>
      </w:r>
    </w:p>
    <w:p w14:paraId="6777D509" w14:textId="77777777" w:rsidR="007B5B58" w:rsidRDefault="007B5B58" w:rsidP="007B5B58"/>
    <w:p w14:paraId="7B34A27E" w14:textId="77777777" w:rsidR="007B5B58" w:rsidRDefault="007B5B58" w:rsidP="007B5B58">
      <w:r>
        <w:t>### **6. Key Challenges and Risks**</w:t>
      </w:r>
    </w:p>
    <w:p w14:paraId="2D4AAF04" w14:textId="77777777" w:rsidR="007B5B58" w:rsidRDefault="007B5B58" w:rsidP="007B5B58">
      <w:r>
        <w:t>- Identification of current and future challenges impacting the company.</w:t>
      </w:r>
    </w:p>
    <w:p w14:paraId="2528EE04" w14:textId="77777777" w:rsidR="007B5B58" w:rsidRDefault="007B5B58" w:rsidP="007B5B58">
      <w:r>
        <w:t>- Analysis of external factors, including macroeconomic and regulatory issues.</w:t>
      </w:r>
    </w:p>
    <w:p w14:paraId="2E3FE6D2" w14:textId="77777777" w:rsidR="007B5B58" w:rsidRDefault="007B5B58" w:rsidP="007B5B58"/>
    <w:p w14:paraId="6486D82F" w14:textId="77777777" w:rsidR="007B5B58" w:rsidRDefault="007B5B58" w:rsidP="007B5B58">
      <w:r>
        <w:t>---</w:t>
      </w:r>
    </w:p>
    <w:p w14:paraId="2420715F" w14:textId="77777777" w:rsidR="007B5B58" w:rsidRDefault="007B5B58" w:rsidP="007B5B58"/>
    <w:p w14:paraId="0BAA0B61" w14:textId="77777777" w:rsidR="007B5B58" w:rsidRDefault="007B5B58" w:rsidP="007B5B58">
      <w:r>
        <w:t>### **7. Strategic Recommendations**</w:t>
      </w:r>
    </w:p>
    <w:p w14:paraId="15832EC1" w14:textId="77777777" w:rsidR="007B5B58" w:rsidRDefault="007B5B58" w:rsidP="007B5B58">
      <w:r>
        <w:t>- Actionable recommendations for improving financial performance, governance, or competitive positioning.</w:t>
      </w:r>
    </w:p>
    <w:p w14:paraId="64A56386" w14:textId="77777777" w:rsidR="007B5B58" w:rsidRDefault="007B5B58" w:rsidP="007B5B58"/>
    <w:p w14:paraId="37E7FB79" w14:textId="77777777" w:rsidR="007B5B58" w:rsidRDefault="007B5B58" w:rsidP="007B5B58">
      <w:r>
        <w:t>---</w:t>
      </w:r>
    </w:p>
    <w:p w14:paraId="59A72B18" w14:textId="77777777" w:rsidR="007B5B58" w:rsidRDefault="007B5B58" w:rsidP="007B5B58"/>
    <w:p w14:paraId="7D2D2543" w14:textId="77777777" w:rsidR="007B5B58" w:rsidRDefault="007B5B58" w:rsidP="007B5B58">
      <w:r>
        <w:t>### **8. Appendices**</w:t>
      </w:r>
    </w:p>
    <w:p w14:paraId="47FB6A9C" w14:textId="77777777" w:rsidR="007B5B58" w:rsidRDefault="007B5B58" w:rsidP="007B5B58">
      <w:r>
        <w:t>- Include supporting data, charts, and detailed calculations.</w:t>
      </w:r>
    </w:p>
    <w:p w14:paraId="1335B279" w14:textId="77777777" w:rsidR="007B5B58" w:rsidRDefault="007B5B58" w:rsidP="007B5B58">
      <w:r>
        <w:t>- References and sources for data used in the report.</w:t>
      </w:r>
    </w:p>
    <w:p w14:paraId="0E0C9098" w14:textId="77777777" w:rsidR="007B5B58" w:rsidRDefault="007B5B58" w:rsidP="007B5B58"/>
    <w:p w14:paraId="1313D962" w14:textId="77777777" w:rsidR="007B5B58" w:rsidRDefault="007B5B58" w:rsidP="007B5B58">
      <w:r>
        <w:t>---</w:t>
      </w:r>
    </w:p>
    <w:p w14:paraId="7B8746FC" w14:textId="77777777" w:rsidR="007B5B58" w:rsidRDefault="007B5B58" w:rsidP="007B5B58"/>
    <w:p w14:paraId="0FBB2F34" w14:textId="77777777" w:rsidR="007B5B58" w:rsidRDefault="007B5B58" w:rsidP="007B5B58">
      <w:r>
        <w:t>This format ensures a professional and comprehensive financial report, covering all critical aspects of the company and industry. Let me know if you need help tailoring this template further or applying it to a specific case!</w:t>
      </w:r>
    </w:p>
    <w:p w14:paraId="68EAE0C1" w14:textId="77777777" w:rsidR="0068412E" w:rsidRDefault="0068412E"/>
    <w:sectPr w:rsidR="006841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914C4"/>
    <w:multiLevelType w:val="multilevel"/>
    <w:tmpl w:val="A764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0138D"/>
    <w:multiLevelType w:val="multilevel"/>
    <w:tmpl w:val="58EE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81891"/>
    <w:multiLevelType w:val="multilevel"/>
    <w:tmpl w:val="55C0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9379F"/>
    <w:multiLevelType w:val="multilevel"/>
    <w:tmpl w:val="31F6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D67E3"/>
    <w:multiLevelType w:val="multilevel"/>
    <w:tmpl w:val="7B08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57857"/>
    <w:multiLevelType w:val="multilevel"/>
    <w:tmpl w:val="FE8E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462BEC"/>
    <w:multiLevelType w:val="multilevel"/>
    <w:tmpl w:val="5DA2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F0E6C"/>
    <w:multiLevelType w:val="multilevel"/>
    <w:tmpl w:val="E3A6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E57570"/>
    <w:multiLevelType w:val="multilevel"/>
    <w:tmpl w:val="2460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0A316A"/>
    <w:multiLevelType w:val="multilevel"/>
    <w:tmpl w:val="E658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3D0241"/>
    <w:multiLevelType w:val="multilevel"/>
    <w:tmpl w:val="5242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DD2E22"/>
    <w:multiLevelType w:val="multilevel"/>
    <w:tmpl w:val="1CD8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932480"/>
    <w:multiLevelType w:val="multilevel"/>
    <w:tmpl w:val="018A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4716A4"/>
    <w:multiLevelType w:val="multilevel"/>
    <w:tmpl w:val="9B22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A52E9E"/>
    <w:multiLevelType w:val="multilevel"/>
    <w:tmpl w:val="375C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514274">
    <w:abstractNumId w:val="8"/>
  </w:num>
  <w:num w:numId="2" w16cid:durableId="994190804">
    <w:abstractNumId w:val="4"/>
  </w:num>
  <w:num w:numId="3" w16cid:durableId="1095637037">
    <w:abstractNumId w:val="14"/>
  </w:num>
  <w:num w:numId="4" w16cid:durableId="2005157467">
    <w:abstractNumId w:val="5"/>
  </w:num>
  <w:num w:numId="5" w16cid:durableId="709382523">
    <w:abstractNumId w:val="10"/>
  </w:num>
  <w:num w:numId="6" w16cid:durableId="1158496836">
    <w:abstractNumId w:val="1"/>
  </w:num>
  <w:num w:numId="7" w16cid:durableId="15736733">
    <w:abstractNumId w:val="11"/>
  </w:num>
  <w:num w:numId="8" w16cid:durableId="100495662">
    <w:abstractNumId w:val="13"/>
  </w:num>
  <w:num w:numId="9" w16cid:durableId="1842506146">
    <w:abstractNumId w:val="7"/>
  </w:num>
  <w:num w:numId="10" w16cid:durableId="618295570">
    <w:abstractNumId w:val="9"/>
  </w:num>
  <w:num w:numId="11" w16cid:durableId="1460487349">
    <w:abstractNumId w:val="0"/>
  </w:num>
  <w:num w:numId="12" w16cid:durableId="1568608626">
    <w:abstractNumId w:val="2"/>
  </w:num>
  <w:num w:numId="13" w16cid:durableId="1552040258">
    <w:abstractNumId w:val="12"/>
  </w:num>
  <w:num w:numId="14" w16cid:durableId="738597903">
    <w:abstractNumId w:val="6"/>
  </w:num>
  <w:num w:numId="15" w16cid:durableId="13240917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BFC"/>
    <w:rsid w:val="001F3572"/>
    <w:rsid w:val="00333D30"/>
    <w:rsid w:val="0068412E"/>
    <w:rsid w:val="00727BA7"/>
    <w:rsid w:val="007B5B58"/>
    <w:rsid w:val="00883B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5CB69"/>
  <w15:chartTrackingRefBased/>
  <w15:docId w15:val="{06962A72-3D4A-4F89-8479-E72506F6A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B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3B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3B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3B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B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B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B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B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B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B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B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B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B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B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BFC"/>
    <w:rPr>
      <w:rFonts w:eastAsiaTheme="majorEastAsia" w:cstheme="majorBidi"/>
      <w:color w:val="272727" w:themeColor="text1" w:themeTint="D8"/>
    </w:rPr>
  </w:style>
  <w:style w:type="paragraph" w:styleId="Title">
    <w:name w:val="Title"/>
    <w:basedOn w:val="Normal"/>
    <w:next w:val="Normal"/>
    <w:link w:val="TitleChar"/>
    <w:uiPriority w:val="10"/>
    <w:qFormat/>
    <w:rsid w:val="00883B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B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B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BFC"/>
    <w:pPr>
      <w:spacing w:before="160"/>
      <w:jc w:val="center"/>
    </w:pPr>
    <w:rPr>
      <w:i/>
      <w:iCs/>
      <w:color w:val="404040" w:themeColor="text1" w:themeTint="BF"/>
    </w:rPr>
  </w:style>
  <w:style w:type="character" w:customStyle="1" w:styleId="QuoteChar">
    <w:name w:val="Quote Char"/>
    <w:basedOn w:val="DefaultParagraphFont"/>
    <w:link w:val="Quote"/>
    <w:uiPriority w:val="29"/>
    <w:rsid w:val="00883BFC"/>
    <w:rPr>
      <w:i/>
      <w:iCs/>
      <w:color w:val="404040" w:themeColor="text1" w:themeTint="BF"/>
    </w:rPr>
  </w:style>
  <w:style w:type="paragraph" w:styleId="ListParagraph">
    <w:name w:val="List Paragraph"/>
    <w:basedOn w:val="Normal"/>
    <w:uiPriority w:val="34"/>
    <w:qFormat/>
    <w:rsid w:val="00883BFC"/>
    <w:pPr>
      <w:ind w:left="720"/>
      <w:contextualSpacing/>
    </w:pPr>
  </w:style>
  <w:style w:type="character" w:styleId="IntenseEmphasis">
    <w:name w:val="Intense Emphasis"/>
    <w:basedOn w:val="DefaultParagraphFont"/>
    <w:uiPriority w:val="21"/>
    <w:qFormat/>
    <w:rsid w:val="00883BFC"/>
    <w:rPr>
      <w:i/>
      <w:iCs/>
      <w:color w:val="0F4761" w:themeColor="accent1" w:themeShade="BF"/>
    </w:rPr>
  </w:style>
  <w:style w:type="paragraph" w:styleId="IntenseQuote">
    <w:name w:val="Intense Quote"/>
    <w:basedOn w:val="Normal"/>
    <w:next w:val="Normal"/>
    <w:link w:val="IntenseQuoteChar"/>
    <w:uiPriority w:val="30"/>
    <w:qFormat/>
    <w:rsid w:val="00883B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BFC"/>
    <w:rPr>
      <w:i/>
      <w:iCs/>
      <w:color w:val="0F4761" w:themeColor="accent1" w:themeShade="BF"/>
    </w:rPr>
  </w:style>
  <w:style w:type="character" w:styleId="IntenseReference">
    <w:name w:val="Intense Reference"/>
    <w:basedOn w:val="DefaultParagraphFont"/>
    <w:uiPriority w:val="32"/>
    <w:qFormat/>
    <w:rsid w:val="00883B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0481755">
      <w:bodyDiv w:val="1"/>
      <w:marLeft w:val="0"/>
      <w:marRight w:val="0"/>
      <w:marTop w:val="0"/>
      <w:marBottom w:val="0"/>
      <w:divBdr>
        <w:top w:val="none" w:sz="0" w:space="0" w:color="auto"/>
        <w:left w:val="none" w:sz="0" w:space="0" w:color="auto"/>
        <w:bottom w:val="none" w:sz="0" w:space="0" w:color="auto"/>
        <w:right w:val="none" w:sz="0" w:space="0" w:color="auto"/>
      </w:divBdr>
    </w:div>
    <w:div w:id="2096048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1501</Words>
  <Characters>8557</Characters>
  <Application>Microsoft Office Word</Application>
  <DocSecurity>0</DocSecurity>
  <Lines>71</Lines>
  <Paragraphs>20</Paragraphs>
  <ScaleCrop>false</ScaleCrop>
  <Company/>
  <LinksUpToDate>false</LinksUpToDate>
  <CharactersWithSpaces>10038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Babu Palakurti</dc:creator>
  <cp:keywords/>
  <dc:description/>
  <cp:lastModifiedBy>Manish Babu Palakurti</cp:lastModifiedBy>
  <cp:revision>2</cp:revision>
  <dcterms:created xsi:type="dcterms:W3CDTF">2025-01-24T23:37:00Z</dcterms:created>
  <dcterms:modified xsi:type="dcterms:W3CDTF">2025-01-24T23:45:00Z</dcterms:modified>
</cp:coreProperties>
</file>