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7CB3E5" w14:textId="5DCA7121" w:rsidR="0068412E" w:rsidRDefault="001D16DB" w:rsidP="001D16DB">
      <w:pPr>
        <w:jc w:val="center"/>
        <w:rPr>
          <w:rFonts w:ascii="Times New Roman" w:hAnsi="Times New Roman" w:cs="Times New Roman"/>
          <w:b/>
          <w:bCs/>
          <w:sz w:val="36"/>
          <w:szCs w:val="36"/>
          <w:lang w:val="en-US"/>
        </w:rPr>
      </w:pPr>
      <w:r w:rsidRPr="001D16DB">
        <w:rPr>
          <w:rFonts w:ascii="Times New Roman" w:hAnsi="Times New Roman" w:cs="Times New Roman"/>
          <w:b/>
          <w:bCs/>
          <w:sz w:val="36"/>
          <w:szCs w:val="36"/>
          <w:lang w:val="en-US"/>
        </w:rPr>
        <w:t>NVIDIA FINANCIAL REPORT</w:t>
      </w:r>
    </w:p>
    <w:p w14:paraId="2EE0CD80" w14:textId="3EB2C33C" w:rsidR="001D16DB" w:rsidRDefault="001D16DB" w:rsidP="001D16D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Manish Babu Palakurti, Naga Nandha Kambhampati</w:t>
      </w:r>
    </w:p>
    <w:p w14:paraId="7CE65148" w14:textId="36280C5A" w:rsidR="001D16DB" w:rsidRDefault="001D16DB" w:rsidP="001D16DB">
      <w:pPr>
        <w:jc w:val="both"/>
        <w:rPr>
          <w:rFonts w:ascii="Times New Roman" w:hAnsi="Times New Roman" w:cs="Times New Roman"/>
          <w:sz w:val="24"/>
          <w:szCs w:val="24"/>
        </w:rPr>
      </w:pPr>
      <w:r w:rsidRPr="001D16DB">
        <w:rPr>
          <w:rFonts w:ascii="Times New Roman" w:hAnsi="Times New Roman" w:cs="Times New Roman"/>
          <w:sz w:val="24"/>
          <w:szCs w:val="24"/>
        </w:rPr>
        <w:t xml:space="preserve">NVIDIA Corporation is the worldwide leader in visual computing technologies and the inventor of the graphic processing unit, or GPU. Over the years, the company's focus has evolved from PC graphics to artificial intelligence (AI) based solutions that now support high performance computing (HPC), gaming and virtual reality (VR) </w:t>
      </w:r>
      <w:r w:rsidRPr="001D16DB">
        <w:rPr>
          <w:rFonts w:ascii="Times New Roman" w:hAnsi="Times New Roman" w:cs="Times New Roman"/>
          <w:sz w:val="24"/>
          <w:szCs w:val="24"/>
        </w:rPr>
        <w:t>platforms. NVIDIA’s</w:t>
      </w:r>
      <w:r w:rsidRPr="001D16DB">
        <w:rPr>
          <w:rFonts w:ascii="Times New Roman" w:hAnsi="Times New Roman" w:cs="Times New Roman"/>
          <w:sz w:val="24"/>
          <w:szCs w:val="24"/>
        </w:rPr>
        <w:t xml:space="preserve"> GPU success can be attributed to its parallel processing capabilities supported by thousands of computing cores, which are necessary to run deep learning algorithms. The company's GPU platforms are playing a major role in developing multi-billion-dollar end-markets like robotics and self-driving </w:t>
      </w:r>
      <w:r w:rsidRPr="001D16DB">
        <w:rPr>
          <w:rFonts w:ascii="Times New Roman" w:hAnsi="Times New Roman" w:cs="Times New Roman"/>
          <w:sz w:val="24"/>
          <w:szCs w:val="24"/>
        </w:rPr>
        <w:t>vehicles. NVIDIA</w:t>
      </w:r>
      <w:r w:rsidRPr="001D16DB">
        <w:rPr>
          <w:rFonts w:ascii="Times New Roman" w:hAnsi="Times New Roman" w:cs="Times New Roman"/>
          <w:sz w:val="24"/>
          <w:szCs w:val="24"/>
        </w:rPr>
        <w:t xml:space="preserve"> is a dominant name in the Data </w:t>
      </w:r>
      <w:r w:rsidRPr="001D16DB">
        <w:rPr>
          <w:rFonts w:ascii="Times New Roman" w:hAnsi="Times New Roman" w:cs="Times New Roman"/>
          <w:sz w:val="24"/>
          <w:szCs w:val="24"/>
        </w:rPr>
        <w:t>Centre</w:t>
      </w:r>
      <w:r w:rsidRPr="001D16DB">
        <w:rPr>
          <w:rFonts w:ascii="Times New Roman" w:hAnsi="Times New Roman" w:cs="Times New Roman"/>
          <w:sz w:val="24"/>
          <w:szCs w:val="24"/>
        </w:rPr>
        <w:t>, professional visualization and gaming markets where Intel and Advanced Micro Devices are playing a catch-up role. The company's partnership with almost all major cloud service providers (CSPs) and server vendors is a key catalyst.</w:t>
      </w:r>
    </w:p>
    <w:p w14:paraId="4184FA7E" w14:textId="0936E59C" w:rsidR="00EE4734" w:rsidRDefault="00EE4734" w:rsidP="001D16DB">
      <w:pPr>
        <w:jc w:val="both"/>
        <w:rPr>
          <w:rFonts w:ascii="Times New Roman" w:hAnsi="Times New Roman" w:cs="Times New Roman"/>
          <w:sz w:val="24"/>
          <w:szCs w:val="24"/>
          <w:lang w:val="en-US"/>
        </w:rPr>
      </w:pPr>
      <w:r>
        <w:rPr>
          <w:rFonts w:ascii="Times New Roman" w:hAnsi="Times New Roman" w:cs="Times New Roman"/>
          <w:sz w:val="24"/>
          <w:szCs w:val="24"/>
        </w:rPr>
        <w:t>Revenue:</w:t>
      </w:r>
    </w:p>
    <w:p w14:paraId="0C12FC40" w14:textId="7E477431" w:rsidR="001D16DB" w:rsidRPr="001D16DB" w:rsidRDefault="001D16DB" w:rsidP="00EE4734">
      <w:pPr>
        <w:jc w:val="both"/>
        <w:rPr>
          <w:rFonts w:ascii="Times New Roman" w:hAnsi="Times New Roman" w:cs="Times New Roman"/>
          <w:sz w:val="24"/>
          <w:szCs w:val="24"/>
        </w:rPr>
      </w:pPr>
      <w:r w:rsidRPr="001D16DB">
        <w:rPr>
          <w:rFonts w:ascii="Times New Roman" w:hAnsi="Times New Roman" w:cs="Times New Roman"/>
          <w:sz w:val="24"/>
          <w:szCs w:val="24"/>
        </w:rPr>
        <w:t>NVIDIA annual revenue history and growth rate from 201</w:t>
      </w:r>
      <w:r>
        <w:rPr>
          <w:rFonts w:ascii="Times New Roman" w:hAnsi="Times New Roman" w:cs="Times New Roman"/>
          <w:sz w:val="24"/>
          <w:szCs w:val="24"/>
        </w:rPr>
        <w:t>5</w:t>
      </w:r>
      <w:r w:rsidRPr="001D16DB">
        <w:rPr>
          <w:rFonts w:ascii="Times New Roman" w:hAnsi="Times New Roman" w:cs="Times New Roman"/>
          <w:sz w:val="24"/>
          <w:szCs w:val="24"/>
        </w:rPr>
        <w:t xml:space="preserve"> to 2024. Revenue can be defined as the amount of money a company receives from its customers in exchange for the sales of goods or services. Revenue is the top line item on an income statement from which all costs and expenses are subtracted to arrive at net income.</w:t>
      </w:r>
    </w:p>
    <w:p w14:paraId="4F63CCD6" w14:textId="77777777" w:rsidR="001D16DB" w:rsidRPr="001D16DB" w:rsidRDefault="001D16DB" w:rsidP="001D16DB">
      <w:pPr>
        <w:numPr>
          <w:ilvl w:val="0"/>
          <w:numId w:val="1"/>
        </w:numPr>
        <w:rPr>
          <w:rFonts w:ascii="Times New Roman" w:hAnsi="Times New Roman" w:cs="Times New Roman"/>
          <w:sz w:val="24"/>
          <w:szCs w:val="24"/>
        </w:rPr>
      </w:pPr>
      <w:r w:rsidRPr="001D16DB">
        <w:rPr>
          <w:rFonts w:ascii="Times New Roman" w:hAnsi="Times New Roman" w:cs="Times New Roman"/>
          <w:sz w:val="24"/>
          <w:szCs w:val="24"/>
        </w:rPr>
        <w:t xml:space="preserve">NVIDIA revenue for the quarter ending October 31, </w:t>
      </w:r>
      <w:proofErr w:type="gramStart"/>
      <w:r w:rsidRPr="001D16DB">
        <w:rPr>
          <w:rFonts w:ascii="Times New Roman" w:hAnsi="Times New Roman" w:cs="Times New Roman"/>
          <w:sz w:val="24"/>
          <w:szCs w:val="24"/>
        </w:rPr>
        <w:t>2024</w:t>
      </w:r>
      <w:proofErr w:type="gramEnd"/>
      <w:r w:rsidRPr="001D16DB">
        <w:rPr>
          <w:rFonts w:ascii="Times New Roman" w:hAnsi="Times New Roman" w:cs="Times New Roman"/>
          <w:sz w:val="24"/>
          <w:szCs w:val="24"/>
        </w:rPr>
        <w:t xml:space="preserve"> was </w:t>
      </w:r>
      <w:r w:rsidRPr="001D16DB">
        <w:rPr>
          <w:rFonts w:ascii="Times New Roman" w:hAnsi="Times New Roman" w:cs="Times New Roman"/>
          <w:b/>
          <w:bCs/>
          <w:sz w:val="24"/>
          <w:szCs w:val="24"/>
        </w:rPr>
        <w:t>$35.082B</w:t>
      </w:r>
      <w:r w:rsidRPr="001D16DB">
        <w:rPr>
          <w:rFonts w:ascii="Times New Roman" w:hAnsi="Times New Roman" w:cs="Times New Roman"/>
          <w:sz w:val="24"/>
          <w:szCs w:val="24"/>
        </w:rPr>
        <w:t>, a </w:t>
      </w:r>
      <w:r w:rsidRPr="001D16DB">
        <w:rPr>
          <w:rFonts w:ascii="Times New Roman" w:hAnsi="Times New Roman" w:cs="Times New Roman"/>
          <w:b/>
          <w:bCs/>
          <w:sz w:val="24"/>
          <w:szCs w:val="24"/>
        </w:rPr>
        <w:t>93.61% increase</w:t>
      </w:r>
      <w:r w:rsidRPr="001D16DB">
        <w:rPr>
          <w:rFonts w:ascii="Times New Roman" w:hAnsi="Times New Roman" w:cs="Times New Roman"/>
          <w:sz w:val="24"/>
          <w:szCs w:val="24"/>
        </w:rPr>
        <w:t> year-over-year.</w:t>
      </w:r>
    </w:p>
    <w:p w14:paraId="42B60050" w14:textId="77777777" w:rsidR="001D16DB" w:rsidRPr="001D16DB" w:rsidRDefault="001D16DB" w:rsidP="001D16DB">
      <w:pPr>
        <w:numPr>
          <w:ilvl w:val="0"/>
          <w:numId w:val="1"/>
        </w:numPr>
        <w:rPr>
          <w:rFonts w:ascii="Times New Roman" w:hAnsi="Times New Roman" w:cs="Times New Roman"/>
          <w:sz w:val="24"/>
          <w:szCs w:val="24"/>
        </w:rPr>
      </w:pPr>
      <w:r w:rsidRPr="001D16DB">
        <w:rPr>
          <w:rFonts w:ascii="Times New Roman" w:hAnsi="Times New Roman" w:cs="Times New Roman"/>
          <w:sz w:val="24"/>
          <w:szCs w:val="24"/>
        </w:rPr>
        <w:t xml:space="preserve">NVIDIA revenue for the twelve months ending October 31, </w:t>
      </w:r>
      <w:proofErr w:type="gramStart"/>
      <w:r w:rsidRPr="001D16DB">
        <w:rPr>
          <w:rFonts w:ascii="Times New Roman" w:hAnsi="Times New Roman" w:cs="Times New Roman"/>
          <w:sz w:val="24"/>
          <w:szCs w:val="24"/>
        </w:rPr>
        <w:t>2024</w:t>
      </w:r>
      <w:proofErr w:type="gramEnd"/>
      <w:r w:rsidRPr="001D16DB">
        <w:rPr>
          <w:rFonts w:ascii="Times New Roman" w:hAnsi="Times New Roman" w:cs="Times New Roman"/>
          <w:sz w:val="24"/>
          <w:szCs w:val="24"/>
        </w:rPr>
        <w:t xml:space="preserve"> was </w:t>
      </w:r>
      <w:r w:rsidRPr="001D16DB">
        <w:rPr>
          <w:rFonts w:ascii="Times New Roman" w:hAnsi="Times New Roman" w:cs="Times New Roman"/>
          <w:b/>
          <w:bCs/>
          <w:sz w:val="24"/>
          <w:szCs w:val="24"/>
        </w:rPr>
        <w:t>$113.269B</w:t>
      </w:r>
      <w:r w:rsidRPr="001D16DB">
        <w:rPr>
          <w:rFonts w:ascii="Times New Roman" w:hAnsi="Times New Roman" w:cs="Times New Roman"/>
          <w:sz w:val="24"/>
          <w:szCs w:val="24"/>
        </w:rPr>
        <w:t>, a </w:t>
      </w:r>
      <w:r w:rsidRPr="001D16DB">
        <w:rPr>
          <w:rFonts w:ascii="Times New Roman" w:hAnsi="Times New Roman" w:cs="Times New Roman"/>
          <w:b/>
          <w:bCs/>
          <w:sz w:val="24"/>
          <w:szCs w:val="24"/>
        </w:rPr>
        <w:t>152.44% increase</w:t>
      </w:r>
      <w:r w:rsidRPr="001D16DB">
        <w:rPr>
          <w:rFonts w:ascii="Times New Roman" w:hAnsi="Times New Roman" w:cs="Times New Roman"/>
          <w:sz w:val="24"/>
          <w:szCs w:val="24"/>
        </w:rPr>
        <w:t> year-over-year.</w:t>
      </w:r>
    </w:p>
    <w:p w14:paraId="5B36DD58" w14:textId="77777777" w:rsidR="001D16DB" w:rsidRPr="001D16DB" w:rsidRDefault="001D16DB" w:rsidP="001D16DB">
      <w:pPr>
        <w:numPr>
          <w:ilvl w:val="0"/>
          <w:numId w:val="1"/>
        </w:numPr>
        <w:rPr>
          <w:rFonts w:ascii="Times New Roman" w:hAnsi="Times New Roman" w:cs="Times New Roman"/>
          <w:sz w:val="24"/>
          <w:szCs w:val="24"/>
        </w:rPr>
      </w:pPr>
      <w:r w:rsidRPr="001D16DB">
        <w:rPr>
          <w:rFonts w:ascii="Times New Roman" w:hAnsi="Times New Roman" w:cs="Times New Roman"/>
          <w:sz w:val="24"/>
          <w:szCs w:val="24"/>
        </w:rPr>
        <w:t>NVIDIA annual revenue for 2024 was </w:t>
      </w:r>
      <w:r w:rsidRPr="001D16DB">
        <w:rPr>
          <w:rFonts w:ascii="Times New Roman" w:hAnsi="Times New Roman" w:cs="Times New Roman"/>
          <w:b/>
          <w:bCs/>
          <w:sz w:val="24"/>
          <w:szCs w:val="24"/>
        </w:rPr>
        <w:t>$60.922B</w:t>
      </w:r>
      <w:r w:rsidRPr="001D16DB">
        <w:rPr>
          <w:rFonts w:ascii="Times New Roman" w:hAnsi="Times New Roman" w:cs="Times New Roman"/>
          <w:sz w:val="24"/>
          <w:szCs w:val="24"/>
        </w:rPr>
        <w:t>, a </w:t>
      </w:r>
      <w:r w:rsidRPr="001D16DB">
        <w:rPr>
          <w:rFonts w:ascii="Times New Roman" w:hAnsi="Times New Roman" w:cs="Times New Roman"/>
          <w:b/>
          <w:bCs/>
          <w:sz w:val="24"/>
          <w:szCs w:val="24"/>
        </w:rPr>
        <w:t>125.85% increase</w:t>
      </w:r>
      <w:r w:rsidRPr="001D16DB">
        <w:rPr>
          <w:rFonts w:ascii="Times New Roman" w:hAnsi="Times New Roman" w:cs="Times New Roman"/>
          <w:sz w:val="24"/>
          <w:szCs w:val="24"/>
        </w:rPr>
        <w:t> from 2023.</w:t>
      </w:r>
    </w:p>
    <w:p w14:paraId="62D66277" w14:textId="77777777" w:rsidR="001D16DB" w:rsidRPr="001D16DB" w:rsidRDefault="001D16DB" w:rsidP="001D16DB">
      <w:pPr>
        <w:numPr>
          <w:ilvl w:val="0"/>
          <w:numId w:val="1"/>
        </w:numPr>
        <w:rPr>
          <w:rFonts w:ascii="Times New Roman" w:hAnsi="Times New Roman" w:cs="Times New Roman"/>
          <w:sz w:val="24"/>
          <w:szCs w:val="24"/>
        </w:rPr>
      </w:pPr>
      <w:r w:rsidRPr="001D16DB">
        <w:rPr>
          <w:rFonts w:ascii="Times New Roman" w:hAnsi="Times New Roman" w:cs="Times New Roman"/>
          <w:sz w:val="24"/>
          <w:szCs w:val="24"/>
        </w:rPr>
        <w:t>NVIDIA annual revenue for 2023 was </w:t>
      </w:r>
      <w:r w:rsidRPr="001D16DB">
        <w:rPr>
          <w:rFonts w:ascii="Times New Roman" w:hAnsi="Times New Roman" w:cs="Times New Roman"/>
          <w:b/>
          <w:bCs/>
          <w:sz w:val="24"/>
          <w:szCs w:val="24"/>
        </w:rPr>
        <w:t>$26.974B</w:t>
      </w:r>
      <w:r w:rsidRPr="001D16DB">
        <w:rPr>
          <w:rFonts w:ascii="Times New Roman" w:hAnsi="Times New Roman" w:cs="Times New Roman"/>
          <w:sz w:val="24"/>
          <w:szCs w:val="24"/>
        </w:rPr>
        <w:t>, a </w:t>
      </w:r>
      <w:r w:rsidRPr="001D16DB">
        <w:rPr>
          <w:rFonts w:ascii="Times New Roman" w:hAnsi="Times New Roman" w:cs="Times New Roman"/>
          <w:b/>
          <w:bCs/>
          <w:sz w:val="24"/>
          <w:szCs w:val="24"/>
        </w:rPr>
        <w:t>0.22% increase</w:t>
      </w:r>
      <w:r w:rsidRPr="001D16DB">
        <w:rPr>
          <w:rFonts w:ascii="Times New Roman" w:hAnsi="Times New Roman" w:cs="Times New Roman"/>
          <w:sz w:val="24"/>
          <w:szCs w:val="24"/>
        </w:rPr>
        <w:t> from 2022.</w:t>
      </w:r>
    </w:p>
    <w:p w14:paraId="558C65D7" w14:textId="77777777" w:rsidR="001D16DB" w:rsidRDefault="001D16DB" w:rsidP="001D16DB">
      <w:pPr>
        <w:numPr>
          <w:ilvl w:val="0"/>
          <w:numId w:val="1"/>
        </w:numPr>
        <w:rPr>
          <w:rFonts w:ascii="Times New Roman" w:hAnsi="Times New Roman" w:cs="Times New Roman"/>
          <w:sz w:val="24"/>
          <w:szCs w:val="24"/>
        </w:rPr>
      </w:pPr>
      <w:r w:rsidRPr="001D16DB">
        <w:rPr>
          <w:rFonts w:ascii="Times New Roman" w:hAnsi="Times New Roman" w:cs="Times New Roman"/>
          <w:sz w:val="24"/>
          <w:szCs w:val="24"/>
        </w:rPr>
        <w:t>NVIDIA annual revenue for 2022 was </w:t>
      </w:r>
      <w:r w:rsidRPr="001D16DB">
        <w:rPr>
          <w:rFonts w:ascii="Times New Roman" w:hAnsi="Times New Roman" w:cs="Times New Roman"/>
          <w:b/>
          <w:bCs/>
          <w:sz w:val="24"/>
          <w:szCs w:val="24"/>
        </w:rPr>
        <w:t>$26.914B</w:t>
      </w:r>
      <w:r w:rsidRPr="001D16DB">
        <w:rPr>
          <w:rFonts w:ascii="Times New Roman" w:hAnsi="Times New Roman" w:cs="Times New Roman"/>
          <w:sz w:val="24"/>
          <w:szCs w:val="24"/>
        </w:rPr>
        <w:t>, a </w:t>
      </w:r>
      <w:r w:rsidRPr="001D16DB">
        <w:rPr>
          <w:rFonts w:ascii="Times New Roman" w:hAnsi="Times New Roman" w:cs="Times New Roman"/>
          <w:b/>
          <w:bCs/>
          <w:sz w:val="24"/>
          <w:szCs w:val="24"/>
        </w:rPr>
        <w:t>61.4% increase</w:t>
      </w:r>
      <w:r w:rsidRPr="001D16DB">
        <w:rPr>
          <w:rFonts w:ascii="Times New Roman" w:hAnsi="Times New Roman" w:cs="Times New Roman"/>
          <w:sz w:val="24"/>
          <w:szCs w:val="24"/>
        </w:rPr>
        <w:t> from 2021.</w:t>
      </w:r>
    </w:p>
    <w:p w14:paraId="702A1F63" w14:textId="78263A76" w:rsidR="001D16DB" w:rsidRPr="001D16DB" w:rsidRDefault="001D16DB" w:rsidP="001D16DB">
      <w:pPr>
        <w:rPr>
          <w:rFonts w:ascii="Times New Roman" w:hAnsi="Times New Roman" w:cs="Times New Roman"/>
          <w:sz w:val="24"/>
          <w:szCs w:val="24"/>
        </w:rPr>
      </w:pPr>
      <w:r>
        <w:rPr>
          <w:noProof/>
        </w:rPr>
        <w:drawing>
          <wp:inline distT="0" distB="0" distL="0" distR="0" wp14:anchorId="6D9DA69E" wp14:editId="78C91751">
            <wp:extent cx="5743575" cy="2733675"/>
            <wp:effectExtent l="0" t="0" r="9525" b="9525"/>
            <wp:docPr id="163560463" name="Chart 1">
              <a:extLst xmlns:a="http://schemas.openxmlformats.org/drawingml/2006/main">
                <a:ext uri="{FF2B5EF4-FFF2-40B4-BE49-F238E27FC236}">
                  <a16:creationId xmlns:a16="http://schemas.microsoft.com/office/drawing/2014/main" id="{08148932-233A-8643-EA74-2E23798A3F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ECF65CE" w14:textId="3BADCD34" w:rsidR="00EE4734" w:rsidRDefault="00EE4734" w:rsidP="00EE4734">
      <w:pPr>
        <w:jc w:val="both"/>
        <w:rPr>
          <w:rFonts w:ascii="Times New Roman" w:hAnsi="Times New Roman" w:cs="Times New Roman"/>
          <w:sz w:val="24"/>
          <w:szCs w:val="24"/>
        </w:rPr>
      </w:pPr>
      <w:r>
        <w:rPr>
          <w:rFonts w:ascii="Times New Roman" w:hAnsi="Times New Roman" w:cs="Times New Roman"/>
          <w:sz w:val="24"/>
          <w:szCs w:val="24"/>
        </w:rPr>
        <w:lastRenderedPageBreak/>
        <w:t>Gross Profit:</w:t>
      </w:r>
    </w:p>
    <w:p w14:paraId="1AC138C2" w14:textId="5EC4B395" w:rsidR="001D16DB" w:rsidRPr="001D16DB" w:rsidRDefault="001D16DB" w:rsidP="00EE4734">
      <w:pPr>
        <w:jc w:val="both"/>
        <w:rPr>
          <w:rFonts w:ascii="Times New Roman" w:hAnsi="Times New Roman" w:cs="Times New Roman"/>
          <w:sz w:val="24"/>
          <w:szCs w:val="24"/>
        </w:rPr>
      </w:pPr>
      <w:r w:rsidRPr="001D16DB">
        <w:rPr>
          <w:rFonts w:ascii="Times New Roman" w:hAnsi="Times New Roman" w:cs="Times New Roman"/>
          <w:sz w:val="24"/>
          <w:szCs w:val="24"/>
        </w:rPr>
        <w:t>NVIDIA annual gross profit history and growth rate from 2010 to 2024. Gross profit can be defined as the profit a company makes after deducting the variable costs directly associated with making and selling its products or providing its services.</w:t>
      </w:r>
    </w:p>
    <w:p w14:paraId="01AB2B85" w14:textId="38FC7A7B" w:rsidR="001D16DB" w:rsidRPr="001D16DB" w:rsidRDefault="001D16DB" w:rsidP="001D16DB">
      <w:pPr>
        <w:numPr>
          <w:ilvl w:val="0"/>
          <w:numId w:val="2"/>
        </w:numPr>
        <w:rPr>
          <w:rFonts w:ascii="Times New Roman" w:hAnsi="Times New Roman" w:cs="Times New Roman"/>
          <w:sz w:val="24"/>
          <w:szCs w:val="24"/>
        </w:rPr>
      </w:pPr>
      <w:r w:rsidRPr="001D16DB">
        <w:rPr>
          <w:rFonts w:ascii="Times New Roman" w:hAnsi="Times New Roman" w:cs="Times New Roman"/>
          <w:sz w:val="24"/>
          <w:szCs w:val="24"/>
        </w:rPr>
        <w:t xml:space="preserve">NVIDIA gross profit for the quarter ending October 31, </w:t>
      </w:r>
      <w:r w:rsidR="00EE4734" w:rsidRPr="001D16DB">
        <w:rPr>
          <w:rFonts w:ascii="Times New Roman" w:hAnsi="Times New Roman" w:cs="Times New Roman"/>
          <w:sz w:val="24"/>
          <w:szCs w:val="24"/>
        </w:rPr>
        <w:t>2024,</w:t>
      </w:r>
      <w:r w:rsidRPr="001D16DB">
        <w:rPr>
          <w:rFonts w:ascii="Times New Roman" w:hAnsi="Times New Roman" w:cs="Times New Roman"/>
          <w:sz w:val="24"/>
          <w:szCs w:val="24"/>
        </w:rPr>
        <w:t xml:space="preserve"> was </w:t>
      </w:r>
      <w:r w:rsidRPr="001D16DB">
        <w:rPr>
          <w:rFonts w:ascii="Times New Roman" w:hAnsi="Times New Roman" w:cs="Times New Roman"/>
          <w:b/>
          <w:bCs/>
          <w:sz w:val="24"/>
          <w:szCs w:val="24"/>
        </w:rPr>
        <w:t>$26.156B</w:t>
      </w:r>
      <w:r w:rsidRPr="001D16DB">
        <w:rPr>
          <w:rFonts w:ascii="Times New Roman" w:hAnsi="Times New Roman" w:cs="Times New Roman"/>
          <w:sz w:val="24"/>
          <w:szCs w:val="24"/>
        </w:rPr>
        <w:t>, a </w:t>
      </w:r>
      <w:r w:rsidRPr="001D16DB">
        <w:rPr>
          <w:rFonts w:ascii="Times New Roman" w:hAnsi="Times New Roman" w:cs="Times New Roman"/>
          <w:b/>
          <w:bCs/>
          <w:sz w:val="24"/>
          <w:szCs w:val="24"/>
        </w:rPr>
        <w:t>95.19% increase</w:t>
      </w:r>
      <w:r w:rsidRPr="001D16DB">
        <w:rPr>
          <w:rFonts w:ascii="Times New Roman" w:hAnsi="Times New Roman" w:cs="Times New Roman"/>
          <w:sz w:val="24"/>
          <w:szCs w:val="24"/>
        </w:rPr>
        <w:t> year-over-year.</w:t>
      </w:r>
    </w:p>
    <w:p w14:paraId="1EB133E8" w14:textId="3C88DAF6" w:rsidR="001D16DB" w:rsidRPr="001D16DB" w:rsidRDefault="001D16DB" w:rsidP="001D16DB">
      <w:pPr>
        <w:numPr>
          <w:ilvl w:val="0"/>
          <w:numId w:val="2"/>
        </w:numPr>
        <w:rPr>
          <w:rFonts w:ascii="Times New Roman" w:hAnsi="Times New Roman" w:cs="Times New Roman"/>
          <w:sz w:val="24"/>
          <w:szCs w:val="24"/>
        </w:rPr>
      </w:pPr>
      <w:r w:rsidRPr="001D16DB">
        <w:rPr>
          <w:rFonts w:ascii="Times New Roman" w:hAnsi="Times New Roman" w:cs="Times New Roman"/>
          <w:sz w:val="24"/>
          <w:szCs w:val="24"/>
        </w:rPr>
        <w:t xml:space="preserve">NVIDIA gross profit for the twelve months ending October 31, </w:t>
      </w:r>
      <w:r w:rsidR="00EE4734" w:rsidRPr="001D16DB">
        <w:rPr>
          <w:rFonts w:ascii="Times New Roman" w:hAnsi="Times New Roman" w:cs="Times New Roman"/>
          <w:sz w:val="24"/>
          <w:szCs w:val="24"/>
        </w:rPr>
        <w:t>2024,</w:t>
      </w:r>
      <w:r w:rsidRPr="001D16DB">
        <w:rPr>
          <w:rFonts w:ascii="Times New Roman" w:hAnsi="Times New Roman" w:cs="Times New Roman"/>
          <w:sz w:val="24"/>
          <w:szCs w:val="24"/>
        </w:rPr>
        <w:t xml:space="preserve"> was </w:t>
      </w:r>
      <w:r w:rsidRPr="001D16DB">
        <w:rPr>
          <w:rFonts w:ascii="Times New Roman" w:hAnsi="Times New Roman" w:cs="Times New Roman"/>
          <w:b/>
          <w:bCs/>
          <w:sz w:val="24"/>
          <w:szCs w:val="24"/>
        </w:rPr>
        <w:t>$85.927B</w:t>
      </w:r>
      <w:r w:rsidRPr="001D16DB">
        <w:rPr>
          <w:rFonts w:ascii="Times New Roman" w:hAnsi="Times New Roman" w:cs="Times New Roman"/>
          <w:sz w:val="24"/>
          <w:szCs w:val="24"/>
        </w:rPr>
        <w:t>, a </w:t>
      </w:r>
      <w:r w:rsidRPr="001D16DB">
        <w:rPr>
          <w:rFonts w:ascii="Times New Roman" w:hAnsi="Times New Roman" w:cs="Times New Roman"/>
          <w:b/>
          <w:bCs/>
          <w:sz w:val="24"/>
          <w:szCs w:val="24"/>
        </w:rPr>
        <w:t>174.15% increase</w:t>
      </w:r>
      <w:r w:rsidRPr="001D16DB">
        <w:rPr>
          <w:rFonts w:ascii="Times New Roman" w:hAnsi="Times New Roman" w:cs="Times New Roman"/>
          <w:sz w:val="24"/>
          <w:szCs w:val="24"/>
        </w:rPr>
        <w:t> year-over-year.</w:t>
      </w:r>
    </w:p>
    <w:p w14:paraId="0F2113AB" w14:textId="77777777" w:rsidR="001D16DB" w:rsidRPr="001D16DB" w:rsidRDefault="001D16DB" w:rsidP="001D16DB">
      <w:pPr>
        <w:numPr>
          <w:ilvl w:val="0"/>
          <w:numId w:val="2"/>
        </w:numPr>
        <w:rPr>
          <w:rFonts w:ascii="Times New Roman" w:hAnsi="Times New Roman" w:cs="Times New Roman"/>
          <w:sz w:val="24"/>
          <w:szCs w:val="24"/>
        </w:rPr>
      </w:pPr>
      <w:r w:rsidRPr="001D16DB">
        <w:rPr>
          <w:rFonts w:ascii="Times New Roman" w:hAnsi="Times New Roman" w:cs="Times New Roman"/>
          <w:sz w:val="24"/>
          <w:szCs w:val="24"/>
        </w:rPr>
        <w:t>NVIDIA annual gross profit for 2024 was </w:t>
      </w:r>
      <w:r w:rsidRPr="001D16DB">
        <w:rPr>
          <w:rFonts w:ascii="Times New Roman" w:hAnsi="Times New Roman" w:cs="Times New Roman"/>
          <w:b/>
          <w:bCs/>
          <w:sz w:val="24"/>
          <w:szCs w:val="24"/>
        </w:rPr>
        <w:t>$44.301B</w:t>
      </w:r>
      <w:r w:rsidRPr="001D16DB">
        <w:rPr>
          <w:rFonts w:ascii="Times New Roman" w:hAnsi="Times New Roman" w:cs="Times New Roman"/>
          <w:sz w:val="24"/>
          <w:szCs w:val="24"/>
        </w:rPr>
        <w:t>, a </w:t>
      </w:r>
      <w:r w:rsidRPr="001D16DB">
        <w:rPr>
          <w:rFonts w:ascii="Times New Roman" w:hAnsi="Times New Roman" w:cs="Times New Roman"/>
          <w:b/>
          <w:bCs/>
          <w:sz w:val="24"/>
          <w:szCs w:val="24"/>
        </w:rPr>
        <w:t>188.49% increase</w:t>
      </w:r>
      <w:r w:rsidRPr="001D16DB">
        <w:rPr>
          <w:rFonts w:ascii="Times New Roman" w:hAnsi="Times New Roman" w:cs="Times New Roman"/>
          <w:sz w:val="24"/>
          <w:szCs w:val="24"/>
        </w:rPr>
        <w:t> from 2023.</w:t>
      </w:r>
    </w:p>
    <w:p w14:paraId="02FC3D13" w14:textId="77777777" w:rsidR="001D16DB" w:rsidRPr="001D16DB" w:rsidRDefault="001D16DB" w:rsidP="001D16DB">
      <w:pPr>
        <w:numPr>
          <w:ilvl w:val="0"/>
          <w:numId w:val="2"/>
        </w:numPr>
        <w:rPr>
          <w:rFonts w:ascii="Times New Roman" w:hAnsi="Times New Roman" w:cs="Times New Roman"/>
          <w:sz w:val="24"/>
          <w:szCs w:val="24"/>
        </w:rPr>
      </w:pPr>
      <w:r w:rsidRPr="001D16DB">
        <w:rPr>
          <w:rFonts w:ascii="Times New Roman" w:hAnsi="Times New Roman" w:cs="Times New Roman"/>
          <w:sz w:val="24"/>
          <w:szCs w:val="24"/>
        </w:rPr>
        <w:t>NVIDIA annual gross profit for 2023 was </w:t>
      </w:r>
      <w:r w:rsidRPr="001D16DB">
        <w:rPr>
          <w:rFonts w:ascii="Times New Roman" w:hAnsi="Times New Roman" w:cs="Times New Roman"/>
          <w:b/>
          <w:bCs/>
          <w:sz w:val="24"/>
          <w:szCs w:val="24"/>
        </w:rPr>
        <w:t>$15.356B</w:t>
      </w:r>
      <w:r w:rsidRPr="001D16DB">
        <w:rPr>
          <w:rFonts w:ascii="Times New Roman" w:hAnsi="Times New Roman" w:cs="Times New Roman"/>
          <w:sz w:val="24"/>
          <w:szCs w:val="24"/>
        </w:rPr>
        <w:t>, a </w:t>
      </w:r>
      <w:r w:rsidRPr="001D16DB">
        <w:rPr>
          <w:rFonts w:ascii="Times New Roman" w:hAnsi="Times New Roman" w:cs="Times New Roman"/>
          <w:b/>
          <w:bCs/>
          <w:sz w:val="24"/>
          <w:szCs w:val="24"/>
        </w:rPr>
        <w:t>12.13% decline</w:t>
      </w:r>
      <w:r w:rsidRPr="001D16DB">
        <w:rPr>
          <w:rFonts w:ascii="Times New Roman" w:hAnsi="Times New Roman" w:cs="Times New Roman"/>
          <w:sz w:val="24"/>
          <w:szCs w:val="24"/>
        </w:rPr>
        <w:t> from 2022.</w:t>
      </w:r>
    </w:p>
    <w:p w14:paraId="21BFACFD" w14:textId="77777777" w:rsidR="001D16DB" w:rsidRPr="001D16DB" w:rsidRDefault="001D16DB" w:rsidP="001D16DB">
      <w:pPr>
        <w:numPr>
          <w:ilvl w:val="0"/>
          <w:numId w:val="2"/>
        </w:numPr>
        <w:rPr>
          <w:rFonts w:ascii="Times New Roman" w:hAnsi="Times New Roman" w:cs="Times New Roman"/>
          <w:sz w:val="24"/>
          <w:szCs w:val="24"/>
        </w:rPr>
      </w:pPr>
      <w:r w:rsidRPr="001D16DB">
        <w:rPr>
          <w:rFonts w:ascii="Times New Roman" w:hAnsi="Times New Roman" w:cs="Times New Roman"/>
          <w:sz w:val="24"/>
          <w:szCs w:val="24"/>
        </w:rPr>
        <w:t>NVIDIA annual gross profit for 2022 was </w:t>
      </w:r>
      <w:r w:rsidRPr="001D16DB">
        <w:rPr>
          <w:rFonts w:ascii="Times New Roman" w:hAnsi="Times New Roman" w:cs="Times New Roman"/>
          <w:b/>
          <w:bCs/>
          <w:sz w:val="24"/>
          <w:szCs w:val="24"/>
        </w:rPr>
        <w:t>$17.475B</w:t>
      </w:r>
      <w:r w:rsidRPr="001D16DB">
        <w:rPr>
          <w:rFonts w:ascii="Times New Roman" w:hAnsi="Times New Roman" w:cs="Times New Roman"/>
          <w:sz w:val="24"/>
          <w:szCs w:val="24"/>
        </w:rPr>
        <w:t>, a </w:t>
      </w:r>
      <w:r w:rsidRPr="001D16DB">
        <w:rPr>
          <w:rFonts w:ascii="Times New Roman" w:hAnsi="Times New Roman" w:cs="Times New Roman"/>
          <w:b/>
          <w:bCs/>
          <w:sz w:val="24"/>
          <w:szCs w:val="24"/>
        </w:rPr>
        <w:t>68.09% increase</w:t>
      </w:r>
      <w:r w:rsidRPr="001D16DB">
        <w:rPr>
          <w:rFonts w:ascii="Times New Roman" w:hAnsi="Times New Roman" w:cs="Times New Roman"/>
          <w:sz w:val="24"/>
          <w:szCs w:val="24"/>
        </w:rPr>
        <w:t> from 2021.</w:t>
      </w:r>
    </w:p>
    <w:p w14:paraId="65B00FDB" w14:textId="75E86549" w:rsidR="001D16DB" w:rsidRDefault="00EE4734" w:rsidP="001D16DB">
      <w:pPr>
        <w:rPr>
          <w:rFonts w:ascii="Times New Roman" w:hAnsi="Times New Roman" w:cs="Times New Roman"/>
          <w:sz w:val="24"/>
          <w:szCs w:val="24"/>
        </w:rPr>
      </w:pPr>
      <w:r>
        <w:rPr>
          <w:noProof/>
        </w:rPr>
        <w:drawing>
          <wp:inline distT="0" distB="0" distL="0" distR="0" wp14:anchorId="6FD6CB79" wp14:editId="23D6B4C7">
            <wp:extent cx="6048375" cy="2752725"/>
            <wp:effectExtent l="0" t="0" r="9525" b="9525"/>
            <wp:docPr id="1328144607" name="Chart 1">
              <a:extLst xmlns:a="http://schemas.openxmlformats.org/drawingml/2006/main">
                <a:ext uri="{FF2B5EF4-FFF2-40B4-BE49-F238E27FC236}">
                  <a16:creationId xmlns:a16="http://schemas.microsoft.com/office/drawing/2014/main" id="{4EED4178-6FFC-892A-AC79-BFE58587BF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5D9FB0B" w14:textId="77777777" w:rsidR="001D16DB" w:rsidRPr="001D16DB" w:rsidRDefault="001D16DB" w:rsidP="001D16DB">
      <w:pPr>
        <w:rPr>
          <w:rFonts w:ascii="Times New Roman" w:hAnsi="Times New Roman" w:cs="Times New Roman"/>
          <w:sz w:val="24"/>
          <w:szCs w:val="24"/>
          <w:lang w:val="en-US"/>
        </w:rPr>
      </w:pPr>
    </w:p>
    <w:p w14:paraId="3CA30E13" w14:textId="77777777" w:rsidR="00130CCF" w:rsidRDefault="00130CCF" w:rsidP="001D16DB">
      <w:pPr>
        <w:rPr>
          <w:rFonts w:ascii="Times New Roman" w:hAnsi="Times New Roman" w:cs="Times New Roman"/>
          <w:sz w:val="24"/>
          <w:szCs w:val="24"/>
          <w:lang w:val="en-US"/>
        </w:rPr>
      </w:pPr>
    </w:p>
    <w:p w14:paraId="31604CD2" w14:textId="77777777" w:rsidR="00130CCF" w:rsidRDefault="00130CCF" w:rsidP="001D16DB">
      <w:pPr>
        <w:rPr>
          <w:rFonts w:ascii="Times New Roman" w:hAnsi="Times New Roman" w:cs="Times New Roman"/>
          <w:sz w:val="24"/>
          <w:szCs w:val="24"/>
          <w:lang w:val="en-US"/>
        </w:rPr>
      </w:pPr>
    </w:p>
    <w:p w14:paraId="1D434E5B" w14:textId="77777777" w:rsidR="00130CCF" w:rsidRDefault="00130CCF" w:rsidP="001D16DB">
      <w:pPr>
        <w:rPr>
          <w:rFonts w:ascii="Times New Roman" w:hAnsi="Times New Roman" w:cs="Times New Roman"/>
          <w:sz w:val="24"/>
          <w:szCs w:val="24"/>
          <w:lang w:val="en-US"/>
        </w:rPr>
      </w:pPr>
    </w:p>
    <w:p w14:paraId="39E789CE" w14:textId="77777777" w:rsidR="00130CCF" w:rsidRDefault="00130CCF" w:rsidP="001D16DB">
      <w:pPr>
        <w:rPr>
          <w:rFonts w:ascii="Times New Roman" w:hAnsi="Times New Roman" w:cs="Times New Roman"/>
          <w:sz w:val="24"/>
          <w:szCs w:val="24"/>
          <w:lang w:val="en-US"/>
        </w:rPr>
      </w:pPr>
    </w:p>
    <w:p w14:paraId="115FD487" w14:textId="77777777" w:rsidR="00130CCF" w:rsidRDefault="00130CCF" w:rsidP="001D16DB">
      <w:pPr>
        <w:rPr>
          <w:rFonts w:ascii="Times New Roman" w:hAnsi="Times New Roman" w:cs="Times New Roman"/>
          <w:sz w:val="24"/>
          <w:szCs w:val="24"/>
          <w:lang w:val="en-US"/>
        </w:rPr>
      </w:pPr>
    </w:p>
    <w:p w14:paraId="6B4EE86B" w14:textId="77777777" w:rsidR="00130CCF" w:rsidRDefault="00130CCF" w:rsidP="001D16DB">
      <w:pPr>
        <w:rPr>
          <w:rFonts w:ascii="Times New Roman" w:hAnsi="Times New Roman" w:cs="Times New Roman"/>
          <w:sz w:val="24"/>
          <w:szCs w:val="24"/>
          <w:lang w:val="en-US"/>
        </w:rPr>
      </w:pPr>
    </w:p>
    <w:p w14:paraId="5A65634E" w14:textId="77777777" w:rsidR="00130CCF" w:rsidRDefault="00130CCF" w:rsidP="001D16DB">
      <w:pPr>
        <w:rPr>
          <w:rFonts w:ascii="Times New Roman" w:hAnsi="Times New Roman" w:cs="Times New Roman"/>
          <w:sz w:val="24"/>
          <w:szCs w:val="24"/>
          <w:lang w:val="en-US"/>
        </w:rPr>
      </w:pPr>
    </w:p>
    <w:p w14:paraId="4B58E86B" w14:textId="77777777" w:rsidR="00130CCF" w:rsidRDefault="00130CCF" w:rsidP="001D16DB">
      <w:pPr>
        <w:rPr>
          <w:rFonts w:ascii="Times New Roman" w:hAnsi="Times New Roman" w:cs="Times New Roman"/>
          <w:sz w:val="24"/>
          <w:szCs w:val="24"/>
          <w:lang w:val="en-US"/>
        </w:rPr>
      </w:pPr>
    </w:p>
    <w:p w14:paraId="25AC72BC" w14:textId="77777777" w:rsidR="00130CCF" w:rsidRDefault="00130CCF" w:rsidP="001D16DB">
      <w:pPr>
        <w:rPr>
          <w:rFonts w:ascii="Times New Roman" w:hAnsi="Times New Roman" w:cs="Times New Roman"/>
          <w:sz w:val="24"/>
          <w:szCs w:val="24"/>
          <w:lang w:val="en-US"/>
        </w:rPr>
      </w:pPr>
    </w:p>
    <w:p w14:paraId="7FD1DE63" w14:textId="77777777" w:rsidR="00130CCF" w:rsidRDefault="00130CCF" w:rsidP="001D16DB">
      <w:pPr>
        <w:rPr>
          <w:rFonts w:ascii="Times New Roman" w:hAnsi="Times New Roman" w:cs="Times New Roman"/>
          <w:sz w:val="24"/>
          <w:szCs w:val="24"/>
          <w:lang w:val="en-US"/>
        </w:rPr>
      </w:pPr>
    </w:p>
    <w:p w14:paraId="0C1CE3C6" w14:textId="63BA5EC0" w:rsidR="001D16DB" w:rsidRDefault="00EE4734" w:rsidP="001D16DB">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Operating Income </w:t>
      </w:r>
    </w:p>
    <w:p w14:paraId="1966AD5F" w14:textId="78B66742" w:rsidR="00EE4734" w:rsidRPr="00EE4734" w:rsidRDefault="00EE4734" w:rsidP="00EE4734">
      <w:pPr>
        <w:rPr>
          <w:rFonts w:ascii="Times New Roman" w:hAnsi="Times New Roman" w:cs="Times New Roman"/>
          <w:sz w:val="24"/>
          <w:szCs w:val="24"/>
        </w:rPr>
      </w:pPr>
      <w:r w:rsidRPr="00EE4734">
        <w:rPr>
          <w:rFonts w:ascii="Times New Roman" w:hAnsi="Times New Roman" w:cs="Times New Roman"/>
          <w:sz w:val="24"/>
          <w:szCs w:val="24"/>
        </w:rPr>
        <w:t>NVIDIA annual</w:t>
      </w:r>
      <w:r w:rsidR="00130CCF">
        <w:rPr>
          <w:rFonts w:ascii="Times New Roman" w:hAnsi="Times New Roman" w:cs="Times New Roman"/>
          <w:sz w:val="24"/>
          <w:szCs w:val="24"/>
        </w:rPr>
        <w:t xml:space="preserve"> </w:t>
      </w:r>
      <w:r w:rsidRPr="00EE4734">
        <w:rPr>
          <w:rFonts w:ascii="Times New Roman" w:hAnsi="Times New Roman" w:cs="Times New Roman"/>
          <w:sz w:val="24"/>
          <w:szCs w:val="24"/>
        </w:rPr>
        <w:t>operating income history and growth rate from 2010 to 2024. Operating income can be defined as income after operating expenses have been deducted and before interest payments and taxes have been deducted.</w:t>
      </w:r>
    </w:p>
    <w:p w14:paraId="1315C4B8" w14:textId="72A857A6" w:rsidR="00EE4734" w:rsidRPr="00EE4734" w:rsidRDefault="00EE4734" w:rsidP="00EE4734">
      <w:pPr>
        <w:numPr>
          <w:ilvl w:val="0"/>
          <w:numId w:val="3"/>
        </w:numPr>
        <w:rPr>
          <w:rFonts w:ascii="Times New Roman" w:hAnsi="Times New Roman" w:cs="Times New Roman"/>
          <w:sz w:val="24"/>
          <w:szCs w:val="24"/>
        </w:rPr>
      </w:pPr>
      <w:r w:rsidRPr="00EE4734">
        <w:rPr>
          <w:rFonts w:ascii="Times New Roman" w:hAnsi="Times New Roman" w:cs="Times New Roman"/>
          <w:sz w:val="24"/>
          <w:szCs w:val="24"/>
        </w:rPr>
        <w:t xml:space="preserve">NVIDIA operating income for the quarter ending October 31, </w:t>
      </w:r>
      <w:r w:rsidR="00130CCF" w:rsidRPr="00EE4734">
        <w:rPr>
          <w:rFonts w:ascii="Times New Roman" w:hAnsi="Times New Roman" w:cs="Times New Roman"/>
          <w:sz w:val="24"/>
          <w:szCs w:val="24"/>
        </w:rPr>
        <w:t>2024,</w:t>
      </w:r>
      <w:r w:rsidRPr="00EE4734">
        <w:rPr>
          <w:rFonts w:ascii="Times New Roman" w:hAnsi="Times New Roman" w:cs="Times New Roman"/>
          <w:sz w:val="24"/>
          <w:szCs w:val="24"/>
        </w:rPr>
        <w:t xml:space="preserve"> was </w:t>
      </w:r>
      <w:r w:rsidRPr="00EE4734">
        <w:rPr>
          <w:rFonts w:ascii="Times New Roman" w:hAnsi="Times New Roman" w:cs="Times New Roman"/>
          <w:b/>
          <w:bCs/>
          <w:sz w:val="24"/>
          <w:szCs w:val="24"/>
        </w:rPr>
        <w:t>$21.869B</w:t>
      </w:r>
      <w:r w:rsidRPr="00EE4734">
        <w:rPr>
          <w:rFonts w:ascii="Times New Roman" w:hAnsi="Times New Roman" w:cs="Times New Roman"/>
          <w:sz w:val="24"/>
          <w:szCs w:val="24"/>
        </w:rPr>
        <w:t>, a </w:t>
      </w:r>
      <w:r w:rsidRPr="00EE4734">
        <w:rPr>
          <w:rFonts w:ascii="Times New Roman" w:hAnsi="Times New Roman" w:cs="Times New Roman"/>
          <w:b/>
          <w:bCs/>
          <w:sz w:val="24"/>
          <w:szCs w:val="24"/>
        </w:rPr>
        <w:t>109.94% increase</w:t>
      </w:r>
      <w:r w:rsidRPr="00EE4734">
        <w:rPr>
          <w:rFonts w:ascii="Times New Roman" w:hAnsi="Times New Roman" w:cs="Times New Roman"/>
          <w:sz w:val="24"/>
          <w:szCs w:val="24"/>
        </w:rPr>
        <w:t> year-over-year.</w:t>
      </w:r>
    </w:p>
    <w:p w14:paraId="45288AF4" w14:textId="409D1C66" w:rsidR="00EE4734" w:rsidRPr="00EE4734" w:rsidRDefault="00EE4734" w:rsidP="00EE4734">
      <w:pPr>
        <w:numPr>
          <w:ilvl w:val="0"/>
          <w:numId w:val="3"/>
        </w:numPr>
        <w:rPr>
          <w:rFonts w:ascii="Times New Roman" w:hAnsi="Times New Roman" w:cs="Times New Roman"/>
          <w:sz w:val="24"/>
          <w:szCs w:val="24"/>
        </w:rPr>
      </w:pPr>
      <w:r w:rsidRPr="00EE4734">
        <w:rPr>
          <w:rFonts w:ascii="Times New Roman" w:hAnsi="Times New Roman" w:cs="Times New Roman"/>
          <w:sz w:val="24"/>
          <w:szCs w:val="24"/>
        </w:rPr>
        <w:t xml:space="preserve">NVIDIA operating income for the twelve months ending October 31, </w:t>
      </w:r>
      <w:r w:rsidR="00130CCF" w:rsidRPr="00EE4734">
        <w:rPr>
          <w:rFonts w:ascii="Times New Roman" w:hAnsi="Times New Roman" w:cs="Times New Roman"/>
          <w:sz w:val="24"/>
          <w:szCs w:val="24"/>
        </w:rPr>
        <w:t>2024,</w:t>
      </w:r>
      <w:r w:rsidRPr="00EE4734">
        <w:rPr>
          <w:rFonts w:ascii="Times New Roman" w:hAnsi="Times New Roman" w:cs="Times New Roman"/>
          <w:sz w:val="24"/>
          <w:szCs w:val="24"/>
        </w:rPr>
        <w:t xml:space="preserve"> was </w:t>
      </w:r>
      <w:r w:rsidRPr="00EE4734">
        <w:rPr>
          <w:rFonts w:ascii="Times New Roman" w:hAnsi="Times New Roman" w:cs="Times New Roman"/>
          <w:b/>
          <w:bCs/>
          <w:sz w:val="24"/>
          <w:szCs w:val="24"/>
        </w:rPr>
        <w:t>$71.035B</w:t>
      </w:r>
      <w:r w:rsidRPr="00EE4734">
        <w:rPr>
          <w:rFonts w:ascii="Times New Roman" w:hAnsi="Times New Roman" w:cs="Times New Roman"/>
          <w:sz w:val="24"/>
          <w:szCs w:val="24"/>
        </w:rPr>
        <w:t>, a </w:t>
      </w:r>
      <w:r w:rsidRPr="00EE4734">
        <w:rPr>
          <w:rFonts w:ascii="Times New Roman" w:hAnsi="Times New Roman" w:cs="Times New Roman"/>
          <w:b/>
          <w:bCs/>
          <w:sz w:val="24"/>
          <w:szCs w:val="24"/>
        </w:rPr>
        <w:t>244.61% increase</w:t>
      </w:r>
      <w:r w:rsidRPr="00EE4734">
        <w:rPr>
          <w:rFonts w:ascii="Times New Roman" w:hAnsi="Times New Roman" w:cs="Times New Roman"/>
          <w:sz w:val="24"/>
          <w:szCs w:val="24"/>
        </w:rPr>
        <w:t> year-over-year.</w:t>
      </w:r>
    </w:p>
    <w:p w14:paraId="3F6790C0" w14:textId="77777777" w:rsidR="00EE4734" w:rsidRPr="00EE4734" w:rsidRDefault="00EE4734" w:rsidP="00EE4734">
      <w:pPr>
        <w:numPr>
          <w:ilvl w:val="0"/>
          <w:numId w:val="3"/>
        </w:numPr>
        <w:rPr>
          <w:rFonts w:ascii="Times New Roman" w:hAnsi="Times New Roman" w:cs="Times New Roman"/>
          <w:sz w:val="24"/>
          <w:szCs w:val="24"/>
        </w:rPr>
      </w:pPr>
      <w:r w:rsidRPr="00EE4734">
        <w:rPr>
          <w:rFonts w:ascii="Times New Roman" w:hAnsi="Times New Roman" w:cs="Times New Roman"/>
          <w:sz w:val="24"/>
          <w:szCs w:val="24"/>
        </w:rPr>
        <w:t>NVIDIA annual operating income for 2024 was </w:t>
      </w:r>
      <w:r w:rsidRPr="00EE4734">
        <w:rPr>
          <w:rFonts w:ascii="Times New Roman" w:hAnsi="Times New Roman" w:cs="Times New Roman"/>
          <w:b/>
          <w:bCs/>
          <w:sz w:val="24"/>
          <w:szCs w:val="24"/>
        </w:rPr>
        <w:t>$32.972B</w:t>
      </w:r>
      <w:r w:rsidRPr="00EE4734">
        <w:rPr>
          <w:rFonts w:ascii="Times New Roman" w:hAnsi="Times New Roman" w:cs="Times New Roman"/>
          <w:sz w:val="24"/>
          <w:szCs w:val="24"/>
        </w:rPr>
        <w:t>, a </w:t>
      </w:r>
      <w:r w:rsidRPr="00EE4734">
        <w:rPr>
          <w:rFonts w:ascii="Times New Roman" w:hAnsi="Times New Roman" w:cs="Times New Roman"/>
          <w:b/>
          <w:bCs/>
          <w:sz w:val="24"/>
          <w:szCs w:val="24"/>
        </w:rPr>
        <w:t>680.59% increase</w:t>
      </w:r>
      <w:r w:rsidRPr="00EE4734">
        <w:rPr>
          <w:rFonts w:ascii="Times New Roman" w:hAnsi="Times New Roman" w:cs="Times New Roman"/>
          <w:sz w:val="24"/>
          <w:szCs w:val="24"/>
        </w:rPr>
        <w:t> from 2023.</w:t>
      </w:r>
    </w:p>
    <w:p w14:paraId="0328F4FD" w14:textId="77777777" w:rsidR="00EE4734" w:rsidRPr="00EE4734" w:rsidRDefault="00EE4734" w:rsidP="00EE4734">
      <w:pPr>
        <w:numPr>
          <w:ilvl w:val="0"/>
          <w:numId w:val="3"/>
        </w:numPr>
        <w:rPr>
          <w:rFonts w:ascii="Times New Roman" w:hAnsi="Times New Roman" w:cs="Times New Roman"/>
          <w:sz w:val="24"/>
          <w:szCs w:val="24"/>
        </w:rPr>
      </w:pPr>
      <w:r w:rsidRPr="00EE4734">
        <w:rPr>
          <w:rFonts w:ascii="Times New Roman" w:hAnsi="Times New Roman" w:cs="Times New Roman"/>
          <w:sz w:val="24"/>
          <w:szCs w:val="24"/>
        </w:rPr>
        <w:t>NVIDIA annual operating income for 2023 was </w:t>
      </w:r>
      <w:r w:rsidRPr="00EE4734">
        <w:rPr>
          <w:rFonts w:ascii="Times New Roman" w:hAnsi="Times New Roman" w:cs="Times New Roman"/>
          <w:b/>
          <w:bCs/>
          <w:sz w:val="24"/>
          <w:szCs w:val="24"/>
        </w:rPr>
        <w:t>$4.224B</w:t>
      </w:r>
      <w:r w:rsidRPr="00EE4734">
        <w:rPr>
          <w:rFonts w:ascii="Times New Roman" w:hAnsi="Times New Roman" w:cs="Times New Roman"/>
          <w:sz w:val="24"/>
          <w:szCs w:val="24"/>
        </w:rPr>
        <w:t>, a </w:t>
      </w:r>
      <w:r w:rsidRPr="00EE4734">
        <w:rPr>
          <w:rFonts w:ascii="Times New Roman" w:hAnsi="Times New Roman" w:cs="Times New Roman"/>
          <w:b/>
          <w:bCs/>
          <w:sz w:val="24"/>
          <w:szCs w:val="24"/>
        </w:rPr>
        <w:t>57.93% decline</w:t>
      </w:r>
      <w:r w:rsidRPr="00EE4734">
        <w:rPr>
          <w:rFonts w:ascii="Times New Roman" w:hAnsi="Times New Roman" w:cs="Times New Roman"/>
          <w:sz w:val="24"/>
          <w:szCs w:val="24"/>
        </w:rPr>
        <w:t> from 2022.</w:t>
      </w:r>
    </w:p>
    <w:p w14:paraId="554B3C37" w14:textId="77777777" w:rsidR="00EE4734" w:rsidRPr="00EE4734" w:rsidRDefault="00EE4734" w:rsidP="00EE4734">
      <w:pPr>
        <w:numPr>
          <w:ilvl w:val="0"/>
          <w:numId w:val="3"/>
        </w:numPr>
        <w:rPr>
          <w:rFonts w:ascii="Times New Roman" w:hAnsi="Times New Roman" w:cs="Times New Roman"/>
          <w:sz w:val="24"/>
          <w:szCs w:val="24"/>
        </w:rPr>
      </w:pPr>
      <w:r w:rsidRPr="00EE4734">
        <w:rPr>
          <w:rFonts w:ascii="Times New Roman" w:hAnsi="Times New Roman" w:cs="Times New Roman"/>
          <w:sz w:val="24"/>
          <w:szCs w:val="24"/>
        </w:rPr>
        <w:t>NVIDIA annual operating income for 2022 was </w:t>
      </w:r>
      <w:r w:rsidRPr="00EE4734">
        <w:rPr>
          <w:rFonts w:ascii="Times New Roman" w:hAnsi="Times New Roman" w:cs="Times New Roman"/>
          <w:b/>
          <w:bCs/>
          <w:sz w:val="24"/>
          <w:szCs w:val="24"/>
        </w:rPr>
        <w:t>$10.041B</w:t>
      </w:r>
      <w:r w:rsidRPr="00EE4734">
        <w:rPr>
          <w:rFonts w:ascii="Times New Roman" w:hAnsi="Times New Roman" w:cs="Times New Roman"/>
          <w:sz w:val="24"/>
          <w:szCs w:val="24"/>
        </w:rPr>
        <w:t>, a </w:t>
      </w:r>
      <w:r w:rsidRPr="00EE4734">
        <w:rPr>
          <w:rFonts w:ascii="Times New Roman" w:hAnsi="Times New Roman" w:cs="Times New Roman"/>
          <w:b/>
          <w:bCs/>
          <w:sz w:val="24"/>
          <w:szCs w:val="24"/>
        </w:rPr>
        <w:t>121.56% increase</w:t>
      </w:r>
      <w:r w:rsidRPr="00EE4734">
        <w:rPr>
          <w:rFonts w:ascii="Times New Roman" w:hAnsi="Times New Roman" w:cs="Times New Roman"/>
          <w:sz w:val="24"/>
          <w:szCs w:val="24"/>
        </w:rPr>
        <w:t> from 2021.</w:t>
      </w:r>
    </w:p>
    <w:p w14:paraId="5897348A" w14:textId="61771269" w:rsidR="00EE4734" w:rsidRPr="00EE4734" w:rsidRDefault="007A210A" w:rsidP="001D16DB">
      <w:pPr>
        <w:rPr>
          <w:rFonts w:ascii="Times New Roman" w:hAnsi="Times New Roman" w:cs="Times New Roman"/>
          <w:sz w:val="24"/>
          <w:szCs w:val="24"/>
          <w:lang w:val="en-US"/>
        </w:rPr>
      </w:pPr>
      <w:r>
        <w:rPr>
          <w:noProof/>
        </w:rPr>
        <w:drawing>
          <wp:inline distT="0" distB="0" distL="0" distR="0" wp14:anchorId="300A2288" wp14:editId="1B42AEB3">
            <wp:extent cx="5848350" cy="2876550"/>
            <wp:effectExtent l="0" t="0" r="0" b="0"/>
            <wp:docPr id="1538751018" name="Chart 1">
              <a:extLst xmlns:a="http://schemas.openxmlformats.org/drawingml/2006/main">
                <a:ext uri="{FF2B5EF4-FFF2-40B4-BE49-F238E27FC236}">
                  <a16:creationId xmlns:a16="http://schemas.microsoft.com/office/drawing/2014/main" id="{3773B3C3-7EC9-3ED4-F91F-7A8746313B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4BD1EB8" w14:textId="77777777" w:rsidR="007A210A" w:rsidRDefault="007A210A" w:rsidP="007A210A">
      <w:pPr>
        <w:rPr>
          <w:rFonts w:ascii="Times New Roman" w:hAnsi="Times New Roman" w:cs="Times New Roman"/>
          <w:sz w:val="24"/>
          <w:szCs w:val="24"/>
          <w:lang w:val="en-US"/>
        </w:rPr>
      </w:pPr>
    </w:p>
    <w:p w14:paraId="175D7D40" w14:textId="77777777" w:rsidR="007A210A" w:rsidRDefault="007A210A" w:rsidP="007A210A">
      <w:pPr>
        <w:rPr>
          <w:rFonts w:ascii="Times New Roman" w:hAnsi="Times New Roman" w:cs="Times New Roman"/>
          <w:sz w:val="24"/>
          <w:szCs w:val="24"/>
          <w:lang w:val="en-US"/>
        </w:rPr>
      </w:pPr>
    </w:p>
    <w:p w14:paraId="64A838D0" w14:textId="77777777" w:rsidR="007A210A" w:rsidRDefault="007A210A" w:rsidP="007A210A">
      <w:pPr>
        <w:rPr>
          <w:rFonts w:ascii="Times New Roman" w:hAnsi="Times New Roman" w:cs="Times New Roman"/>
          <w:sz w:val="24"/>
          <w:szCs w:val="24"/>
          <w:lang w:val="en-US"/>
        </w:rPr>
      </w:pPr>
    </w:p>
    <w:p w14:paraId="095D0F61" w14:textId="77777777" w:rsidR="007A210A" w:rsidRDefault="007A210A" w:rsidP="007A210A">
      <w:pPr>
        <w:rPr>
          <w:rFonts w:ascii="Times New Roman" w:hAnsi="Times New Roman" w:cs="Times New Roman"/>
          <w:sz w:val="24"/>
          <w:szCs w:val="24"/>
          <w:lang w:val="en-US"/>
        </w:rPr>
      </w:pPr>
    </w:p>
    <w:p w14:paraId="3F5AC2AB" w14:textId="77777777" w:rsidR="007A210A" w:rsidRDefault="007A210A" w:rsidP="007A210A">
      <w:pPr>
        <w:rPr>
          <w:rFonts w:ascii="Times New Roman" w:hAnsi="Times New Roman" w:cs="Times New Roman"/>
          <w:sz w:val="24"/>
          <w:szCs w:val="24"/>
          <w:lang w:val="en-US"/>
        </w:rPr>
      </w:pPr>
    </w:p>
    <w:p w14:paraId="2B5EB8E3" w14:textId="77777777" w:rsidR="007A210A" w:rsidRDefault="007A210A" w:rsidP="007A210A">
      <w:pPr>
        <w:rPr>
          <w:rFonts w:ascii="Times New Roman" w:hAnsi="Times New Roman" w:cs="Times New Roman"/>
          <w:sz w:val="24"/>
          <w:szCs w:val="24"/>
          <w:lang w:val="en-US"/>
        </w:rPr>
      </w:pPr>
    </w:p>
    <w:p w14:paraId="2F8F4AF2" w14:textId="77777777" w:rsidR="007A210A" w:rsidRDefault="007A210A" w:rsidP="007A210A">
      <w:pPr>
        <w:rPr>
          <w:rFonts w:ascii="Times New Roman" w:hAnsi="Times New Roman" w:cs="Times New Roman"/>
          <w:sz w:val="24"/>
          <w:szCs w:val="24"/>
          <w:lang w:val="en-US"/>
        </w:rPr>
      </w:pPr>
    </w:p>
    <w:p w14:paraId="1B78778D" w14:textId="77777777" w:rsidR="007A210A" w:rsidRDefault="007A210A" w:rsidP="007A210A">
      <w:pPr>
        <w:rPr>
          <w:rFonts w:ascii="Times New Roman" w:hAnsi="Times New Roman" w:cs="Times New Roman"/>
          <w:sz w:val="24"/>
          <w:szCs w:val="24"/>
          <w:lang w:val="en-US"/>
        </w:rPr>
      </w:pPr>
    </w:p>
    <w:p w14:paraId="45BEDEAF" w14:textId="77777777" w:rsidR="007A210A" w:rsidRDefault="007A210A" w:rsidP="007A210A">
      <w:pPr>
        <w:rPr>
          <w:rFonts w:ascii="Times New Roman" w:hAnsi="Times New Roman" w:cs="Times New Roman"/>
          <w:sz w:val="24"/>
          <w:szCs w:val="24"/>
          <w:lang w:val="en-US"/>
        </w:rPr>
      </w:pPr>
    </w:p>
    <w:p w14:paraId="4DD0E8C3" w14:textId="778F0BA6" w:rsidR="007A210A" w:rsidRDefault="007A210A" w:rsidP="007A210A">
      <w:pPr>
        <w:rPr>
          <w:rFonts w:ascii="Times New Roman" w:hAnsi="Times New Roman" w:cs="Times New Roman"/>
          <w:sz w:val="24"/>
          <w:szCs w:val="24"/>
          <w:lang w:val="en-US"/>
        </w:rPr>
      </w:pPr>
      <w:r>
        <w:rPr>
          <w:rFonts w:ascii="Times New Roman" w:hAnsi="Times New Roman" w:cs="Times New Roman"/>
          <w:sz w:val="24"/>
          <w:szCs w:val="24"/>
          <w:lang w:val="en-US"/>
        </w:rPr>
        <w:lastRenderedPageBreak/>
        <w:t>Net Income:</w:t>
      </w:r>
    </w:p>
    <w:p w14:paraId="7C08C912" w14:textId="77777777" w:rsidR="007A210A" w:rsidRPr="007A210A" w:rsidRDefault="007A210A" w:rsidP="007A210A">
      <w:pPr>
        <w:rPr>
          <w:rFonts w:ascii="Times New Roman" w:hAnsi="Times New Roman" w:cs="Times New Roman"/>
          <w:sz w:val="24"/>
          <w:szCs w:val="24"/>
        </w:rPr>
      </w:pPr>
      <w:r w:rsidRPr="007A210A">
        <w:rPr>
          <w:rFonts w:ascii="Times New Roman" w:hAnsi="Times New Roman" w:cs="Times New Roman"/>
          <w:sz w:val="24"/>
          <w:szCs w:val="24"/>
        </w:rPr>
        <w:t>NVIDIA annual/quarterly net income history and growth rate from 2010 to 2024. Net income can be defined as company's net profit or loss after all revenues, income items, and expenses have been accounted for.</w:t>
      </w:r>
    </w:p>
    <w:p w14:paraId="7816C500" w14:textId="77777777" w:rsidR="007A210A" w:rsidRPr="007A210A" w:rsidRDefault="007A210A" w:rsidP="007A210A">
      <w:pPr>
        <w:numPr>
          <w:ilvl w:val="0"/>
          <w:numId w:val="4"/>
        </w:numPr>
        <w:rPr>
          <w:rFonts w:ascii="Times New Roman" w:hAnsi="Times New Roman" w:cs="Times New Roman"/>
          <w:sz w:val="24"/>
          <w:szCs w:val="24"/>
        </w:rPr>
      </w:pPr>
      <w:r w:rsidRPr="007A210A">
        <w:rPr>
          <w:rFonts w:ascii="Times New Roman" w:hAnsi="Times New Roman" w:cs="Times New Roman"/>
          <w:sz w:val="24"/>
          <w:szCs w:val="24"/>
        </w:rPr>
        <w:t xml:space="preserve">NVIDIA net income for the quarter ending October 31, </w:t>
      </w:r>
      <w:proofErr w:type="gramStart"/>
      <w:r w:rsidRPr="007A210A">
        <w:rPr>
          <w:rFonts w:ascii="Times New Roman" w:hAnsi="Times New Roman" w:cs="Times New Roman"/>
          <w:sz w:val="24"/>
          <w:szCs w:val="24"/>
        </w:rPr>
        <w:t>2024</w:t>
      </w:r>
      <w:proofErr w:type="gramEnd"/>
      <w:r w:rsidRPr="007A210A">
        <w:rPr>
          <w:rFonts w:ascii="Times New Roman" w:hAnsi="Times New Roman" w:cs="Times New Roman"/>
          <w:sz w:val="24"/>
          <w:szCs w:val="24"/>
        </w:rPr>
        <w:t xml:space="preserve"> was </w:t>
      </w:r>
      <w:r w:rsidRPr="007A210A">
        <w:rPr>
          <w:rFonts w:ascii="Times New Roman" w:hAnsi="Times New Roman" w:cs="Times New Roman"/>
          <w:b/>
          <w:bCs/>
          <w:sz w:val="24"/>
          <w:szCs w:val="24"/>
        </w:rPr>
        <w:t>$19.309B</w:t>
      </w:r>
      <w:r w:rsidRPr="007A210A">
        <w:rPr>
          <w:rFonts w:ascii="Times New Roman" w:hAnsi="Times New Roman" w:cs="Times New Roman"/>
          <w:sz w:val="24"/>
          <w:szCs w:val="24"/>
        </w:rPr>
        <w:t>, a </w:t>
      </w:r>
      <w:r w:rsidRPr="007A210A">
        <w:rPr>
          <w:rFonts w:ascii="Times New Roman" w:hAnsi="Times New Roman" w:cs="Times New Roman"/>
          <w:b/>
          <w:bCs/>
          <w:sz w:val="24"/>
          <w:szCs w:val="24"/>
        </w:rPr>
        <w:t>108.9% increase</w:t>
      </w:r>
      <w:r w:rsidRPr="007A210A">
        <w:rPr>
          <w:rFonts w:ascii="Times New Roman" w:hAnsi="Times New Roman" w:cs="Times New Roman"/>
          <w:sz w:val="24"/>
          <w:szCs w:val="24"/>
        </w:rPr>
        <w:t> year-over-year.</w:t>
      </w:r>
    </w:p>
    <w:p w14:paraId="1C908ECF" w14:textId="77777777" w:rsidR="007A210A" w:rsidRPr="007A210A" w:rsidRDefault="007A210A" w:rsidP="007A210A">
      <w:pPr>
        <w:numPr>
          <w:ilvl w:val="0"/>
          <w:numId w:val="4"/>
        </w:numPr>
        <w:rPr>
          <w:rFonts w:ascii="Times New Roman" w:hAnsi="Times New Roman" w:cs="Times New Roman"/>
          <w:sz w:val="24"/>
          <w:szCs w:val="24"/>
        </w:rPr>
      </w:pPr>
      <w:r w:rsidRPr="007A210A">
        <w:rPr>
          <w:rFonts w:ascii="Times New Roman" w:hAnsi="Times New Roman" w:cs="Times New Roman"/>
          <w:sz w:val="24"/>
          <w:szCs w:val="24"/>
        </w:rPr>
        <w:t xml:space="preserve">NVIDIA net income for the twelve months ending October 31, </w:t>
      </w:r>
      <w:proofErr w:type="gramStart"/>
      <w:r w:rsidRPr="007A210A">
        <w:rPr>
          <w:rFonts w:ascii="Times New Roman" w:hAnsi="Times New Roman" w:cs="Times New Roman"/>
          <w:sz w:val="24"/>
          <w:szCs w:val="24"/>
        </w:rPr>
        <w:t>2024</w:t>
      </w:r>
      <w:proofErr w:type="gramEnd"/>
      <w:r w:rsidRPr="007A210A">
        <w:rPr>
          <w:rFonts w:ascii="Times New Roman" w:hAnsi="Times New Roman" w:cs="Times New Roman"/>
          <w:sz w:val="24"/>
          <w:szCs w:val="24"/>
        </w:rPr>
        <w:t xml:space="preserve"> was </w:t>
      </w:r>
      <w:r w:rsidRPr="007A210A">
        <w:rPr>
          <w:rFonts w:ascii="Times New Roman" w:hAnsi="Times New Roman" w:cs="Times New Roman"/>
          <w:b/>
          <w:bCs/>
          <w:sz w:val="24"/>
          <w:szCs w:val="24"/>
        </w:rPr>
        <w:t>$63.075B</w:t>
      </w:r>
      <w:r w:rsidRPr="007A210A">
        <w:rPr>
          <w:rFonts w:ascii="Times New Roman" w:hAnsi="Times New Roman" w:cs="Times New Roman"/>
          <w:sz w:val="24"/>
          <w:szCs w:val="24"/>
        </w:rPr>
        <w:t>, a </w:t>
      </w:r>
      <w:r w:rsidRPr="007A210A">
        <w:rPr>
          <w:rFonts w:ascii="Times New Roman" w:hAnsi="Times New Roman" w:cs="Times New Roman"/>
          <w:b/>
          <w:bCs/>
          <w:sz w:val="24"/>
          <w:szCs w:val="24"/>
        </w:rPr>
        <w:t>233.94% increase</w:t>
      </w:r>
      <w:r w:rsidRPr="007A210A">
        <w:rPr>
          <w:rFonts w:ascii="Times New Roman" w:hAnsi="Times New Roman" w:cs="Times New Roman"/>
          <w:sz w:val="24"/>
          <w:szCs w:val="24"/>
        </w:rPr>
        <w:t> year-over-year.</w:t>
      </w:r>
    </w:p>
    <w:p w14:paraId="70C34DC6" w14:textId="77777777" w:rsidR="007A210A" w:rsidRPr="007A210A" w:rsidRDefault="007A210A" w:rsidP="007A210A">
      <w:pPr>
        <w:numPr>
          <w:ilvl w:val="0"/>
          <w:numId w:val="4"/>
        </w:numPr>
        <w:rPr>
          <w:rFonts w:ascii="Times New Roman" w:hAnsi="Times New Roman" w:cs="Times New Roman"/>
          <w:sz w:val="24"/>
          <w:szCs w:val="24"/>
        </w:rPr>
      </w:pPr>
      <w:r w:rsidRPr="007A210A">
        <w:rPr>
          <w:rFonts w:ascii="Times New Roman" w:hAnsi="Times New Roman" w:cs="Times New Roman"/>
          <w:sz w:val="24"/>
          <w:szCs w:val="24"/>
        </w:rPr>
        <w:t>NVIDIA annual net income for 2024 was </w:t>
      </w:r>
      <w:r w:rsidRPr="007A210A">
        <w:rPr>
          <w:rFonts w:ascii="Times New Roman" w:hAnsi="Times New Roman" w:cs="Times New Roman"/>
          <w:b/>
          <w:bCs/>
          <w:sz w:val="24"/>
          <w:szCs w:val="24"/>
        </w:rPr>
        <w:t>$29.76B</w:t>
      </w:r>
      <w:r w:rsidRPr="007A210A">
        <w:rPr>
          <w:rFonts w:ascii="Times New Roman" w:hAnsi="Times New Roman" w:cs="Times New Roman"/>
          <w:sz w:val="24"/>
          <w:szCs w:val="24"/>
        </w:rPr>
        <w:t>, a </w:t>
      </w:r>
      <w:r w:rsidRPr="007A210A">
        <w:rPr>
          <w:rFonts w:ascii="Times New Roman" w:hAnsi="Times New Roman" w:cs="Times New Roman"/>
          <w:b/>
          <w:bCs/>
          <w:sz w:val="24"/>
          <w:szCs w:val="24"/>
        </w:rPr>
        <w:t>581.32% increase</w:t>
      </w:r>
      <w:r w:rsidRPr="007A210A">
        <w:rPr>
          <w:rFonts w:ascii="Times New Roman" w:hAnsi="Times New Roman" w:cs="Times New Roman"/>
          <w:sz w:val="24"/>
          <w:szCs w:val="24"/>
        </w:rPr>
        <w:t> from 2023.</w:t>
      </w:r>
    </w:p>
    <w:p w14:paraId="0F8B9613" w14:textId="77777777" w:rsidR="007A210A" w:rsidRPr="007A210A" w:rsidRDefault="007A210A" w:rsidP="007A210A">
      <w:pPr>
        <w:numPr>
          <w:ilvl w:val="0"/>
          <w:numId w:val="4"/>
        </w:numPr>
        <w:rPr>
          <w:rFonts w:ascii="Times New Roman" w:hAnsi="Times New Roman" w:cs="Times New Roman"/>
          <w:sz w:val="24"/>
          <w:szCs w:val="24"/>
        </w:rPr>
      </w:pPr>
      <w:r w:rsidRPr="007A210A">
        <w:rPr>
          <w:rFonts w:ascii="Times New Roman" w:hAnsi="Times New Roman" w:cs="Times New Roman"/>
          <w:sz w:val="24"/>
          <w:szCs w:val="24"/>
        </w:rPr>
        <w:t>NVIDIA annual net income for 2023 was </w:t>
      </w:r>
      <w:r w:rsidRPr="007A210A">
        <w:rPr>
          <w:rFonts w:ascii="Times New Roman" w:hAnsi="Times New Roman" w:cs="Times New Roman"/>
          <w:b/>
          <w:bCs/>
          <w:sz w:val="24"/>
          <w:szCs w:val="24"/>
        </w:rPr>
        <w:t>$4.368B</w:t>
      </w:r>
      <w:r w:rsidRPr="007A210A">
        <w:rPr>
          <w:rFonts w:ascii="Times New Roman" w:hAnsi="Times New Roman" w:cs="Times New Roman"/>
          <w:sz w:val="24"/>
          <w:szCs w:val="24"/>
        </w:rPr>
        <w:t>, a </w:t>
      </w:r>
      <w:r w:rsidRPr="007A210A">
        <w:rPr>
          <w:rFonts w:ascii="Times New Roman" w:hAnsi="Times New Roman" w:cs="Times New Roman"/>
          <w:b/>
          <w:bCs/>
          <w:sz w:val="24"/>
          <w:szCs w:val="24"/>
        </w:rPr>
        <w:t>55.21% decline</w:t>
      </w:r>
      <w:r w:rsidRPr="007A210A">
        <w:rPr>
          <w:rFonts w:ascii="Times New Roman" w:hAnsi="Times New Roman" w:cs="Times New Roman"/>
          <w:sz w:val="24"/>
          <w:szCs w:val="24"/>
        </w:rPr>
        <w:t> from 2022.</w:t>
      </w:r>
    </w:p>
    <w:p w14:paraId="7909152A" w14:textId="77777777" w:rsidR="007A210A" w:rsidRPr="007A210A" w:rsidRDefault="007A210A" w:rsidP="007A210A">
      <w:pPr>
        <w:numPr>
          <w:ilvl w:val="0"/>
          <w:numId w:val="4"/>
        </w:numPr>
        <w:rPr>
          <w:rFonts w:ascii="Times New Roman" w:hAnsi="Times New Roman" w:cs="Times New Roman"/>
          <w:sz w:val="24"/>
          <w:szCs w:val="24"/>
        </w:rPr>
      </w:pPr>
      <w:r w:rsidRPr="007A210A">
        <w:rPr>
          <w:rFonts w:ascii="Times New Roman" w:hAnsi="Times New Roman" w:cs="Times New Roman"/>
          <w:sz w:val="24"/>
          <w:szCs w:val="24"/>
        </w:rPr>
        <w:t>NVIDIA annual net income for 2022 was </w:t>
      </w:r>
      <w:r w:rsidRPr="007A210A">
        <w:rPr>
          <w:rFonts w:ascii="Times New Roman" w:hAnsi="Times New Roman" w:cs="Times New Roman"/>
          <w:b/>
          <w:bCs/>
          <w:sz w:val="24"/>
          <w:szCs w:val="24"/>
        </w:rPr>
        <w:t>$9.752B</w:t>
      </w:r>
      <w:r w:rsidRPr="007A210A">
        <w:rPr>
          <w:rFonts w:ascii="Times New Roman" w:hAnsi="Times New Roman" w:cs="Times New Roman"/>
          <w:sz w:val="24"/>
          <w:szCs w:val="24"/>
        </w:rPr>
        <w:t>, a </w:t>
      </w:r>
      <w:r w:rsidRPr="007A210A">
        <w:rPr>
          <w:rFonts w:ascii="Times New Roman" w:hAnsi="Times New Roman" w:cs="Times New Roman"/>
          <w:b/>
          <w:bCs/>
          <w:sz w:val="24"/>
          <w:szCs w:val="24"/>
        </w:rPr>
        <w:t>125.12% increase</w:t>
      </w:r>
      <w:r w:rsidRPr="007A210A">
        <w:rPr>
          <w:rFonts w:ascii="Times New Roman" w:hAnsi="Times New Roman" w:cs="Times New Roman"/>
          <w:sz w:val="24"/>
          <w:szCs w:val="24"/>
        </w:rPr>
        <w:t> from 2021.</w:t>
      </w:r>
    </w:p>
    <w:p w14:paraId="04589690" w14:textId="52E812DC" w:rsidR="007A210A" w:rsidRDefault="007A210A" w:rsidP="007A210A">
      <w:pPr>
        <w:rPr>
          <w:rFonts w:ascii="Times New Roman" w:hAnsi="Times New Roman" w:cs="Times New Roman"/>
          <w:sz w:val="24"/>
          <w:szCs w:val="24"/>
          <w:lang w:val="en-US"/>
        </w:rPr>
      </w:pPr>
      <w:r>
        <w:rPr>
          <w:noProof/>
        </w:rPr>
        <w:drawing>
          <wp:inline distT="0" distB="0" distL="0" distR="0" wp14:anchorId="2C286F3E" wp14:editId="6ACD2094">
            <wp:extent cx="5543550" cy="3337679"/>
            <wp:effectExtent l="0" t="0" r="0" b="0"/>
            <wp:docPr id="1394695644" name="Picture 1"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95644" name="Picture 1" descr="A graph with numbers and a bar&#10;&#10;Description automatically generated"/>
                    <pic:cNvPicPr/>
                  </pic:nvPicPr>
                  <pic:blipFill>
                    <a:blip r:embed="rId8"/>
                    <a:stretch>
                      <a:fillRect/>
                    </a:stretch>
                  </pic:blipFill>
                  <pic:spPr>
                    <a:xfrm>
                      <a:off x="0" y="0"/>
                      <a:ext cx="5549046" cy="3340988"/>
                    </a:xfrm>
                    <a:prstGeom prst="rect">
                      <a:avLst/>
                    </a:prstGeom>
                  </pic:spPr>
                </pic:pic>
              </a:graphicData>
            </a:graphic>
          </wp:inline>
        </w:drawing>
      </w:r>
    </w:p>
    <w:p w14:paraId="5199D71B" w14:textId="77777777" w:rsidR="00DD5EEB" w:rsidRDefault="00DD5EEB" w:rsidP="007A210A">
      <w:pPr>
        <w:rPr>
          <w:rFonts w:ascii="Times New Roman" w:hAnsi="Times New Roman" w:cs="Times New Roman"/>
          <w:sz w:val="24"/>
          <w:szCs w:val="24"/>
          <w:lang w:val="en-US"/>
        </w:rPr>
      </w:pPr>
    </w:p>
    <w:p w14:paraId="7F1F653E" w14:textId="77777777" w:rsidR="00DD5EEB" w:rsidRDefault="00DD5EEB" w:rsidP="007A210A">
      <w:pPr>
        <w:rPr>
          <w:rFonts w:ascii="Times New Roman" w:hAnsi="Times New Roman" w:cs="Times New Roman"/>
          <w:sz w:val="24"/>
          <w:szCs w:val="24"/>
          <w:lang w:val="en-US"/>
        </w:rPr>
      </w:pPr>
    </w:p>
    <w:p w14:paraId="196C40A2" w14:textId="77777777" w:rsidR="00DD5EEB" w:rsidRDefault="00DD5EEB" w:rsidP="007A210A">
      <w:pPr>
        <w:rPr>
          <w:rFonts w:ascii="Times New Roman" w:hAnsi="Times New Roman" w:cs="Times New Roman"/>
          <w:sz w:val="24"/>
          <w:szCs w:val="24"/>
          <w:lang w:val="en-US"/>
        </w:rPr>
      </w:pPr>
    </w:p>
    <w:p w14:paraId="17AE6580" w14:textId="77777777" w:rsidR="00DD5EEB" w:rsidRDefault="00DD5EEB" w:rsidP="007A210A">
      <w:pPr>
        <w:rPr>
          <w:rFonts w:ascii="Times New Roman" w:hAnsi="Times New Roman" w:cs="Times New Roman"/>
          <w:sz w:val="24"/>
          <w:szCs w:val="24"/>
          <w:lang w:val="en-US"/>
        </w:rPr>
      </w:pPr>
    </w:p>
    <w:p w14:paraId="63861FAE" w14:textId="77777777" w:rsidR="00DD5EEB" w:rsidRDefault="00DD5EEB" w:rsidP="007A210A">
      <w:pPr>
        <w:rPr>
          <w:rFonts w:ascii="Times New Roman" w:hAnsi="Times New Roman" w:cs="Times New Roman"/>
          <w:sz w:val="24"/>
          <w:szCs w:val="24"/>
          <w:lang w:val="en-US"/>
        </w:rPr>
      </w:pPr>
    </w:p>
    <w:p w14:paraId="0F0175CE" w14:textId="77777777" w:rsidR="00DD5EEB" w:rsidRDefault="00DD5EEB" w:rsidP="007A210A">
      <w:pPr>
        <w:rPr>
          <w:rFonts w:ascii="Times New Roman" w:hAnsi="Times New Roman" w:cs="Times New Roman"/>
          <w:sz w:val="24"/>
          <w:szCs w:val="24"/>
          <w:lang w:val="en-US"/>
        </w:rPr>
      </w:pPr>
    </w:p>
    <w:p w14:paraId="1818F5FF" w14:textId="77777777" w:rsidR="00DD5EEB" w:rsidRDefault="00DD5EEB" w:rsidP="007A210A">
      <w:pPr>
        <w:rPr>
          <w:rFonts w:ascii="Times New Roman" w:hAnsi="Times New Roman" w:cs="Times New Roman"/>
          <w:sz w:val="24"/>
          <w:szCs w:val="24"/>
          <w:lang w:val="en-US"/>
        </w:rPr>
      </w:pPr>
    </w:p>
    <w:p w14:paraId="2FF07BC2" w14:textId="77777777" w:rsidR="00DD5EEB" w:rsidRDefault="00DD5EEB" w:rsidP="007A210A">
      <w:pPr>
        <w:rPr>
          <w:rFonts w:ascii="Times New Roman" w:hAnsi="Times New Roman" w:cs="Times New Roman"/>
          <w:sz w:val="24"/>
          <w:szCs w:val="24"/>
          <w:lang w:val="en-US"/>
        </w:rPr>
      </w:pPr>
    </w:p>
    <w:p w14:paraId="24ED1042" w14:textId="77777777" w:rsidR="00DD5EEB" w:rsidRDefault="00DD5EEB" w:rsidP="007A210A">
      <w:pPr>
        <w:rPr>
          <w:rFonts w:ascii="Times New Roman" w:hAnsi="Times New Roman" w:cs="Times New Roman"/>
          <w:sz w:val="24"/>
          <w:szCs w:val="24"/>
          <w:lang w:val="en-US"/>
        </w:rPr>
      </w:pPr>
    </w:p>
    <w:p w14:paraId="5AAEBC57" w14:textId="35956AC0" w:rsidR="007A210A" w:rsidRDefault="007A210A" w:rsidP="007A210A">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Total </w:t>
      </w:r>
      <w:proofErr w:type="spellStart"/>
      <w:r>
        <w:rPr>
          <w:rFonts w:ascii="Times New Roman" w:hAnsi="Times New Roman" w:cs="Times New Roman"/>
          <w:sz w:val="24"/>
          <w:szCs w:val="24"/>
          <w:lang w:val="en-US"/>
        </w:rPr>
        <w:t>Asserts</w:t>
      </w:r>
      <w:proofErr w:type="spellEnd"/>
      <w:r w:rsidR="00DD5EEB">
        <w:rPr>
          <w:rFonts w:ascii="Times New Roman" w:hAnsi="Times New Roman" w:cs="Times New Roman"/>
          <w:sz w:val="24"/>
          <w:szCs w:val="24"/>
          <w:lang w:val="en-US"/>
        </w:rPr>
        <w:t>:</w:t>
      </w:r>
    </w:p>
    <w:p w14:paraId="71FF088D" w14:textId="77777777" w:rsidR="00692A71" w:rsidRPr="00692A71" w:rsidRDefault="00692A71" w:rsidP="00692A71">
      <w:pPr>
        <w:rPr>
          <w:rFonts w:ascii="Times New Roman" w:hAnsi="Times New Roman" w:cs="Times New Roman"/>
          <w:sz w:val="24"/>
          <w:szCs w:val="24"/>
        </w:rPr>
      </w:pPr>
      <w:r w:rsidRPr="00692A71">
        <w:rPr>
          <w:rFonts w:ascii="Times New Roman" w:hAnsi="Times New Roman" w:cs="Times New Roman"/>
          <w:sz w:val="24"/>
          <w:szCs w:val="24"/>
        </w:rPr>
        <w:t>NVIDIA total assets from 2010 to 2024. Total assets can be defined as the sum of all assets on a company's balance sheet.</w:t>
      </w:r>
    </w:p>
    <w:p w14:paraId="5FF7FE8F" w14:textId="0EE4F488" w:rsidR="00692A71" w:rsidRPr="00692A71" w:rsidRDefault="00692A71" w:rsidP="00692A71">
      <w:pPr>
        <w:numPr>
          <w:ilvl w:val="0"/>
          <w:numId w:val="5"/>
        </w:numPr>
        <w:rPr>
          <w:rFonts w:ascii="Times New Roman" w:hAnsi="Times New Roman" w:cs="Times New Roman"/>
          <w:sz w:val="24"/>
          <w:szCs w:val="24"/>
        </w:rPr>
      </w:pPr>
      <w:r w:rsidRPr="00692A71">
        <w:rPr>
          <w:rFonts w:ascii="Times New Roman" w:hAnsi="Times New Roman" w:cs="Times New Roman"/>
          <w:sz w:val="24"/>
          <w:szCs w:val="24"/>
        </w:rPr>
        <w:t xml:space="preserve">NVIDIA total assets for the quarter ending October 31, </w:t>
      </w:r>
      <w:r w:rsidRPr="00692A71">
        <w:rPr>
          <w:rFonts w:ascii="Times New Roman" w:hAnsi="Times New Roman" w:cs="Times New Roman"/>
          <w:sz w:val="24"/>
          <w:szCs w:val="24"/>
        </w:rPr>
        <w:t>2024,</w:t>
      </w:r>
      <w:r w:rsidRPr="00692A71">
        <w:rPr>
          <w:rFonts w:ascii="Times New Roman" w:hAnsi="Times New Roman" w:cs="Times New Roman"/>
          <w:sz w:val="24"/>
          <w:szCs w:val="24"/>
        </w:rPr>
        <w:t xml:space="preserve"> were </w:t>
      </w:r>
      <w:r w:rsidRPr="00692A71">
        <w:rPr>
          <w:rFonts w:ascii="Times New Roman" w:hAnsi="Times New Roman" w:cs="Times New Roman"/>
          <w:b/>
          <w:bCs/>
          <w:sz w:val="24"/>
          <w:szCs w:val="24"/>
        </w:rPr>
        <w:t>$96.013B</w:t>
      </w:r>
      <w:r w:rsidRPr="00692A71">
        <w:rPr>
          <w:rFonts w:ascii="Times New Roman" w:hAnsi="Times New Roman" w:cs="Times New Roman"/>
          <w:sz w:val="24"/>
          <w:szCs w:val="24"/>
        </w:rPr>
        <w:t>, a </w:t>
      </w:r>
      <w:r w:rsidRPr="00692A71">
        <w:rPr>
          <w:rFonts w:ascii="Times New Roman" w:hAnsi="Times New Roman" w:cs="Times New Roman"/>
          <w:b/>
          <w:bCs/>
          <w:sz w:val="24"/>
          <w:szCs w:val="24"/>
        </w:rPr>
        <w:t>77.32% increase</w:t>
      </w:r>
      <w:r w:rsidRPr="00692A71">
        <w:rPr>
          <w:rFonts w:ascii="Times New Roman" w:hAnsi="Times New Roman" w:cs="Times New Roman"/>
          <w:sz w:val="24"/>
          <w:szCs w:val="24"/>
        </w:rPr>
        <w:t> year-over-year.</w:t>
      </w:r>
    </w:p>
    <w:p w14:paraId="47ED9F2C" w14:textId="77777777" w:rsidR="00692A71" w:rsidRPr="00692A71" w:rsidRDefault="00692A71" w:rsidP="00692A71">
      <w:pPr>
        <w:numPr>
          <w:ilvl w:val="0"/>
          <w:numId w:val="5"/>
        </w:numPr>
        <w:rPr>
          <w:rFonts w:ascii="Times New Roman" w:hAnsi="Times New Roman" w:cs="Times New Roman"/>
          <w:sz w:val="24"/>
          <w:szCs w:val="24"/>
        </w:rPr>
      </w:pPr>
      <w:r w:rsidRPr="00692A71">
        <w:rPr>
          <w:rFonts w:ascii="Times New Roman" w:hAnsi="Times New Roman" w:cs="Times New Roman"/>
          <w:sz w:val="24"/>
          <w:szCs w:val="24"/>
        </w:rPr>
        <w:t>NVIDIA total assets for 2024 were </w:t>
      </w:r>
      <w:r w:rsidRPr="00692A71">
        <w:rPr>
          <w:rFonts w:ascii="Times New Roman" w:hAnsi="Times New Roman" w:cs="Times New Roman"/>
          <w:b/>
          <w:bCs/>
          <w:sz w:val="24"/>
          <w:szCs w:val="24"/>
        </w:rPr>
        <w:t>$65.728B</w:t>
      </w:r>
      <w:r w:rsidRPr="00692A71">
        <w:rPr>
          <w:rFonts w:ascii="Times New Roman" w:hAnsi="Times New Roman" w:cs="Times New Roman"/>
          <w:sz w:val="24"/>
          <w:szCs w:val="24"/>
        </w:rPr>
        <w:t>, a </w:t>
      </w:r>
      <w:r w:rsidRPr="00692A71">
        <w:rPr>
          <w:rFonts w:ascii="Times New Roman" w:hAnsi="Times New Roman" w:cs="Times New Roman"/>
          <w:b/>
          <w:bCs/>
          <w:sz w:val="24"/>
          <w:szCs w:val="24"/>
        </w:rPr>
        <w:t>59.6% increase</w:t>
      </w:r>
      <w:r w:rsidRPr="00692A71">
        <w:rPr>
          <w:rFonts w:ascii="Times New Roman" w:hAnsi="Times New Roman" w:cs="Times New Roman"/>
          <w:sz w:val="24"/>
          <w:szCs w:val="24"/>
        </w:rPr>
        <w:t> from 2023.</w:t>
      </w:r>
    </w:p>
    <w:p w14:paraId="0200320E" w14:textId="77777777" w:rsidR="00692A71" w:rsidRPr="00692A71" w:rsidRDefault="00692A71" w:rsidP="00692A71">
      <w:pPr>
        <w:numPr>
          <w:ilvl w:val="0"/>
          <w:numId w:val="5"/>
        </w:numPr>
        <w:rPr>
          <w:rFonts w:ascii="Times New Roman" w:hAnsi="Times New Roman" w:cs="Times New Roman"/>
          <w:sz w:val="24"/>
          <w:szCs w:val="24"/>
        </w:rPr>
      </w:pPr>
      <w:r w:rsidRPr="00692A71">
        <w:rPr>
          <w:rFonts w:ascii="Times New Roman" w:hAnsi="Times New Roman" w:cs="Times New Roman"/>
          <w:sz w:val="24"/>
          <w:szCs w:val="24"/>
        </w:rPr>
        <w:t>NVIDIA total assets for 2023 were </w:t>
      </w:r>
      <w:r w:rsidRPr="00692A71">
        <w:rPr>
          <w:rFonts w:ascii="Times New Roman" w:hAnsi="Times New Roman" w:cs="Times New Roman"/>
          <w:b/>
          <w:bCs/>
          <w:sz w:val="24"/>
          <w:szCs w:val="24"/>
        </w:rPr>
        <w:t>$41.182B</w:t>
      </w:r>
      <w:r w:rsidRPr="00692A71">
        <w:rPr>
          <w:rFonts w:ascii="Times New Roman" w:hAnsi="Times New Roman" w:cs="Times New Roman"/>
          <w:sz w:val="24"/>
          <w:szCs w:val="24"/>
        </w:rPr>
        <w:t>, a </w:t>
      </w:r>
      <w:r w:rsidRPr="00692A71">
        <w:rPr>
          <w:rFonts w:ascii="Times New Roman" w:hAnsi="Times New Roman" w:cs="Times New Roman"/>
          <w:b/>
          <w:bCs/>
          <w:sz w:val="24"/>
          <w:szCs w:val="24"/>
        </w:rPr>
        <w:t>6.8% decline</w:t>
      </w:r>
      <w:r w:rsidRPr="00692A71">
        <w:rPr>
          <w:rFonts w:ascii="Times New Roman" w:hAnsi="Times New Roman" w:cs="Times New Roman"/>
          <w:sz w:val="24"/>
          <w:szCs w:val="24"/>
        </w:rPr>
        <w:t> from 2022.</w:t>
      </w:r>
    </w:p>
    <w:p w14:paraId="5C8CF91C" w14:textId="77777777" w:rsidR="00692A71" w:rsidRDefault="00692A71" w:rsidP="00692A71">
      <w:pPr>
        <w:numPr>
          <w:ilvl w:val="0"/>
          <w:numId w:val="5"/>
        </w:numPr>
        <w:rPr>
          <w:rFonts w:ascii="Times New Roman" w:hAnsi="Times New Roman" w:cs="Times New Roman"/>
          <w:sz w:val="24"/>
          <w:szCs w:val="24"/>
        </w:rPr>
      </w:pPr>
      <w:r w:rsidRPr="00692A71">
        <w:rPr>
          <w:rFonts w:ascii="Times New Roman" w:hAnsi="Times New Roman" w:cs="Times New Roman"/>
          <w:sz w:val="24"/>
          <w:szCs w:val="24"/>
        </w:rPr>
        <w:t>NVIDIA total assets for 2022 were </w:t>
      </w:r>
      <w:r w:rsidRPr="00692A71">
        <w:rPr>
          <w:rFonts w:ascii="Times New Roman" w:hAnsi="Times New Roman" w:cs="Times New Roman"/>
          <w:b/>
          <w:bCs/>
          <w:sz w:val="24"/>
          <w:szCs w:val="24"/>
        </w:rPr>
        <w:t>$44.187B</w:t>
      </w:r>
      <w:r w:rsidRPr="00692A71">
        <w:rPr>
          <w:rFonts w:ascii="Times New Roman" w:hAnsi="Times New Roman" w:cs="Times New Roman"/>
          <w:sz w:val="24"/>
          <w:szCs w:val="24"/>
        </w:rPr>
        <w:t>, a </w:t>
      </w:r>
      <w:r w:rsidRPr="00692A71">
        <w:rPr>
          <w:rFonts w:ascii="Times New Roman" w:hAnsi="Times New Roman" w:cs="Times New Roman"/>
          <w:b/>
          <w:bCs/>
          <w:sz w:val="24"/>
          <w:szCs w:val="24"/>
        </w:rPr>
        <w:t>53.48% increase</w:t>
      </w:r>
      <w:r w:rsidRPr="00692A71">
        <w:rPr>
          <w:rFonts w:ascii="Times New Roman" w:hAnsi="Times New Roman" w:cs="Times New Roman"/>
          <w:sz w:val="24"/>
          <w:szCs w:val="24"/>
        </w:rPr>
        <w:t> from 2021.</w:t>
      </w:r>
    </w:p>
    <w:p w14:paraId="252F467B" w14:textId="405D546F" w:rsidR="00692A71" w:rsidRPr="00692A71" w:rsidRDefault="00692A71" w:rsidP="00692A71">
      <w:pPr>
        <w:rPr>
          <w:rFonts w:ascii="Times New Roman" w:hAnsi="Times New Roman" w:cs="Times New Roman"/>
          <w:sz w:val="24"/>
          <w:szCs w:val="24"/>
        </w:rPr>
      </w:pPr>
      <w:r>
        <w:rPr>
          <w:noProof/>
        </w:rPr>
        <w:drawing>
          <wp:inline distT="0" distB="0" distL="0" distR="0" wp14:anchorId="577D03C2" wp14:editId="5A01CAA8">
            <wp:extent cx="6096000" cy="3067050"/>
            <wp:effectExtent l="0" t="0" r="0" b="0"/>
            <wp:docPr id="308671009" name="Chart 1">
              <a:extLst xmlns:a="http://schemas.openxmlformats.org/drawingml/2006/main">
                <a:ext uri="{FF2B5EF4-FFF2-40B4-BE49-F238E27FC236}">
                  <a16:creationId xmlns:a16="http://schemas.microsoft.com/office/drawing/2014/main" id="{D4C5A9B7-572E-3DE4-1DD1-54021AF366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CB24A25" w14:textId="77777777" w:rsidR="007A210A" w:rsidRPr="007A210A" w:rsidRDefault="007A210A" w:rsidP="007A210A">
      <w:pPr>
        <w:rPr>
          <w:rFonts w:ascii="Times New Roman" w:hAnsi="Times New Roman" w:cs="Times New Roman"/>
          <w:sz w:val="24"/>
          <w:szCs w:val="24"/>
          <w:lang w:val="en-US"/>
        </w:rPr>
      </w:pPr>
    </w:p>
    <w:p w14:paraId="2615E39D" w14:textId="1441DD3D" w:rsidR="007A210A" w:rsidRDefault="00DD5EEB" w:rsidP="007A210A">
      <w:pPr>
        <w:rPr>
          <w:lang w:val="en-US"/>
        </w:rPr>
      </w:pPr>
      <w:r>
        <w:rPr>
          <w:noProof/>
        </w:rPr>
        <w:drawing>
          <wp:inline distT="0" distB="0" distL="0" distR="0" wp14:anchorId="3DD121AF" wp14:editId="7D7820F3">
            <wp:extent cx="5638800" cy="2705100"/>
            <wp:effectExtent l="0" t="0" r="0" b="0"/>
            <wp:docPr id="683290447" name="Chart 1">
              <a:extLst xmlns:a="http://schemas.openxmlformats.org/drawingml/2006/main">
                <a:ext uri="{FF2B5EF4-FFF2-40B4-BE49-F238E27FC236}">
                  <a16:creationId xmlns:a16="http://schemas.microsoft.com/office/drawing/2014/main" id="{B28724B9-3F57-21C3-E919-C02B6D4E03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6A2CCB4" w14:textId="77777777" w:rsidR="00DD5EEB" w:rsidRDefault="00DD5EEB" w:rsidP="007A210A">
      <w:pPr>
        <w:rPr>
          <w:lang w:val="en-US"/>
        </w:rPr>
      </w:pPr>
    </w:p>
    <w:p w14:paraId="756E0A66" w14:textId="5158F125" w:rsidR="00DD5EEB" w:rsidRDefault="00DD5EEB" w:rsidP="007A210A">
      <w:pPr>
        <w:rPr>
          <w:lang w:val="en-US"/>
        </w:rPr>
      </w:pPr>
      <w:r>
        <w:rPr>
          <w:noProof/>
        </w:rPr>
        <w:lastRenderedPageBreak/>
        <w:drawing>
          <wp:inline distT="0" distB="0" distL="0" distR="0" wp14:anchorId="5C27FBF2" wp14:editId="2C371E05">
            <wp:extent cx="5762625" cy="2724150"/>
            <wp:effectExtent l="0" t="0" r="9525" b="0"/>
            <wp:docPr id="1940817404" name="Chart 1">
              <a:extLst xmlns:a="http://schemas.openxmlformats.org/drawingml/2006/main">
                <a:ext uri="{FF2B5EF4-FFF2-40B4-BE49-F238E27FC236}">
                  <a16:creationId xmlns:a16="http://schemas.microsoft.com/office/drawing/2014/main" id="{C91CA049-B1F8-AF7E-9E8E-7ACBE5CE5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152D649" w14:textId="0F62AE04" w:rsidR="00DD5EEB" w:rsidRPr="001D16DB" w:rsidRDefault="00DD5EEB" w:rsidP="007A210A">
      <w:pPr>
        <w:rPr>
          <w:lang w:val="en-US"/>
        </w:rPr>
      </w:pPr>
      <w:r>
        <w:rPr>
          <w:noProof/>
        </w:rPr>
        <w:drawing>
          <wp:inline distT="0" distB="0" distL="0" distR="0" wp14:anchorId="57BA86C0" wp14:editId="2D373739">
            <wp:extent cx="5762625" cy="2581275"/>
            <wp:effectExtent l="0" t="0" r="9525" b="9525"/>
            <wp:docPr id="1036209137" name="Chart 1">
              <a:extLst xmlns:a="http://schemas.openxmlformats.org/drawingml/2006/main">
                <a:ext uri="{FF2B5EF4-FFF2-40B4-BE49-F238E27FC236}">
                  <a16:creationId xmlns:a16="http://schemas.microsoft.com/office/drawing/2014/main" id="{A24350C3-F70F-8EA3-DC59-1FF052CB2E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sectPr w:rsidR="00DD5EEB" w:rsidRPr="001D1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22536A"/>
    <w:multiLevelType w:val="multilevel"/>
    <w:tmpl w:val="7E7E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B4B1C"/>
    <w:multiLevelType w:val="multilevel"/>
    <w:tmpl w:val="5BF6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1764DD"/>
    <w:multiLevelType w:val="multilevel"/>
    <w:tmpl w:val="84C6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2577FB"/>
    <w:multiLevelType w:val="multilevel"/>
    <w:tmpl w:val="3758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533C4"/>
    <w:multiLevelType w:val="multilevel"/>
    <w:tmpl w:val="6A98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424038">
    <w:abstractNumId w:val="0"/>
  </w:num>
  <w:num w:numId="2" w16cid:durableId="1247420101">
    <w:abstractNumId w:val="2"/>
  </w:num>
  <w:num w:numId="3" w16cid:durableId="306132861">
    <w:abstractNumId w:val="3"/>
  </w:num>
  <w:num w:numId="4" w16cid:durableId="2087920949">
    <w:abstractNumId w:val="4"/>
  </w:num>
  <w:num w:numId="5" w16cid:durableId="1612278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6DB"/>
    <w:rsid w:val="00130CCF"/>
    <w:rsid w:val="001D16DB"/>
    <w:rsid w:val="001F25F1"/>
    <w:rsid w:val="001F3572"/>
    <w:rsid w:val="00333D30"/>
    <w:rsid w:val="0068412E"/>
    <w:rsid w:val="00692A71"/>
    <w:rsid w:val="007A210A"/>
    <w:rsid w:val="00DD5EEB"/>
    <w:rsid w:val="00EE4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4E95F"/>
  <w15:chartTrackingRefBased/>
  <w15:docId w15:val="{54DD25D2-08B4-4260-B995-8808CA8B8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6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6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6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6DB"/>
    <w:rPr>
      <w:rFonts w:eastAsiaTheme="majorEastAsia" w:cstheme="majorBidi"/>
      <w:color w:val="272727" w:themeColor="text1" w:themeTint="D8"/>
    </w:rPr>
  </w:style>
  <w:style w:type="paragraph" w:styleId="Title">
    <w:name w:val="Title"/>
    <w:basedOn w:val="Normal"/>
    <w:next w:val="Normal"/>
    <w:link w:val="TitleChar"/>
    <w:uiPriority w:val="10"/>
    <w:qFormat/>
    <w:rsid w:val="001D1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6DB"/>
    <w:pPr>
      <w:spacing w:before="160"/>
      <w:jc w:val="center"/>
    </w:pPr>
    <w:rPr>
      <w:i/>
      <w:iCs/>
      <w:color w:val="404040" w:themeColor="text1" w:themeTint="BF"/>
    </w:rPr>
  </w:style>
  <w:style w:type="character" w:customStyle="1" w:styleId="QuoteChar">
    <w:name w:val="Quote Char"/>
    <w:basedOn w:val="DefaultParagraphFont"/>
    <w:link w:val="Quote"/>
    <w:uiPriority w:val="29"/>
    <w:rsid w:val="001D16DB"/>
    <w:rPr>
      <w:i/>
      <w:iCs/>
      <w:color w:val="404040" w:themeColor="text1" w:themeTint="BF"/>
    </w:rPr>
  </w:style>
  <w:style w:type="paragraph" w:styleId="ListParagraph">
    <w:name w:val="List Paragraph"/>
    <w:basedOn w:val="Normal"/>
    <w:uiPriority w:val="34"/>
    <w:qFormat/>
    <w:rsid w:val="001D16DB"/>
    <w:pPr>
      <w:ind w:left="720"/>
      <w:contextualSpacing/>
    </w:pPr>
  </w:style>
  <w:style w:type="character" w:styleId="IntenseEmphasis">
    <w:name w:val="Intense Emphasis"/>
    <w:basedOn w:val="DefaultParagraphFont"/>
    <w:uiPriority w:val="21"/>
    <w:qFormat/>
    <w:rsid w:val="001D16DB"/>
    <w:rPr>
      <w:i/>
      <w:iCs/>
      <w:color w:val="0F4761" w:themeColor="accent1" w:themeShade="BF"/>
    </w:rPr>
  </w:style>
  <w:style w:type="paragraph" w:styleId="IntenseQuote">
    <w:name w:val="Intense Quote"/>
    <w:basedOn w:val="Normal"/>
    <w:next w:val="Normal"/>
    <w:link w:val="IntenseQuoteChar"/>
    <w:uiPriority w:val="30"/>
    <w:qFormat/>
    <w:rsid w:val="001D1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6DB"/>
    <w:rPr>
      <w:i/>
      <w:iCs/>
      <w:color w:val="0F4761" w:themeColor="accent1" w:themeShade="BF"/>
    </w:rPr>
  </w:style>
  <w:style w:type="character" w:styleId="IntenseReference">
    <w:name w:val="Intense Reference"/>
    <w:basedOn w:val="DefaultParagraphFont"/>
    <w:uiPriority w:val="32"/>
    <w:qFormat/>
    <w:rsid w:val="001D16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546072">
      <w:bodyDiv w:val="1"/>
      <w:marLeft w:val="0"/>
      <w:marRight w:val="0"/>
      <w:marTop w:val="0"/>
      <w:marBottom w:val="0"/>
      <w:divBdr>
        <w:top w:val="none" w:sz="0" w:space="0" w:color="auto"/>
        <w:left w:val="none" w:sz="0" w:space="0" w:color="auto"/>
        <w:bottom w:val="none" w:sz="0" w:space="0" w:color="auto"/>
        <w:right w:val="none" w:sz="0" w:space="0" w:color="auto"/>
      </w:divBdr>
    </w:div>
    <w:div w:id="392001804">
      <w:bodyDiv w:val="1"/>
      <w:marLeft w:val="0"/>
      <w:marRight w:val="0"/>
      <w:marTop w:val="0"/>
      <w:marBottom w:val="0"/>
      <w:divBdr>
        <w:top w:val="none" w:sz="0" w:space="0" w:color="auto"/>
        <w:left w:val="none" w:sz="0" w:space="0" w:color="auto"/>
        <w:bottom w:val="none" w:sz="0" w:space="0" w:color="auto"/>
        <w:right w:val="none" w:sz="0" w:space="0" w:color="auto"/>
      </w:divBdr>
    </w:div>
    <w:div w:id="420031466">
      <w:bodyDiv w:val="1"/>
      <w:marLeft w:val="0"/>
      <w:marRight w:val="0"/>
      <w:marTop w:val="0"/>
      <w:marBottom w:val="0"/>
      <w:divBdr>
        <w:top w:val="none" w:sz="0" w:space="0" w:color="auto"/>
        <w:left w:val="none" w:sz="0" w:space="0" w:color="auto"/>
        <w:bottom w:val="none" w:sz="0" w:space="0" w:color="auto"/>
        <w:right w:val="none" w:sz="0" w:space="0" w:color="auto"/>
      </w:divBdr>
    </w:div>
    <w:div w:id="485241382">
      <w:bodyDiv w:val="1"/>
      <w:marLeft w:val="0"/>
      <w:marRight w:val="0"/>
      <w:marTop w:val="0"/>
      <w:marBottom w:val="0"/>
      <w:divBdr>
        <w:top w:val="none" w:sz="0" w:space="0" w:color="auto"/>
        <w:left w:val="none" w:sz="0" w:space="0" w:color="auto"/>
        <w:bottom w:val="none" w:sz="0" w:space="0" w:color="auto"/>
        <w:right w:val="none" w:sz="0" w:space="0" w:color="auto"/>
      </w:divBdr>
    </w:div>
    <w:div w:id="517159007">
      <w:bodyDiv w:val="1"/>
      <w:marLeft w:val="0"/>
      <w:marRight w:val="0"/>
      <w:marTop w:val="0"/>
      <w:marBottom w:val="0"/>
      <w:divBdr>
        <w:top w:val="none" w:sz="0" w:space="0" w:color="auto"/>
        <w:left w:val="none" w:sz="0" w:space="0" w:color="auto"/>
        <w:bottom w:val="none" w:sz="0" w:space="0" w:color="auto"/>
        <w:right w:val="none" w:sz="0" w:space="0" w:color="auto"/>
      </w:divBdr>
    </w:div>
    <w:div w:id="627512867">
      <w:bodyDiv w:val="1"/>
      <w:marLeft w:val="0"/>
      <w:marRight w:val="0"/>
      <w:marTop w:val="0"/>
      <w:marBottom w:val="0"/>
      <w:divBdr>
        <w:top w:val="none" w:sz="0" w:space="0" w:color="auto"/>
        <w:left w:val="none" w:sz="0" w:space="0" w:color="auto"/>
        <w:bottom w:val="none" w:sz="0" w:space="0" w:color="auto"/>
        <w:right w:val="none" w:sz="0" w:space="0" w:color="auto"/>
      </w:divBdr>
    </w:div>
    <w:div w:id="1441993474">
      <w:bodyDiv w:val="1"/>
      <w:marLeft w:val="0"/>
      <w:marRight w:val="0"/>
      <w:marTop w:val="0"/>
      <w:marBottom w:val="0"/>
      <w:divBdr>
        <w:top w:val="none" w:sz="0" w:space="0" w:color="auto"/>
        <w:left w:val="none" w:sz="0" w:space="0" w:color="auto"/>
        <w:bottom w:val="none" w:sz="0" w:space="0" w:color="auto"/>
        <w:right w:val="none" w:sz="0" w:space="0" w:color="auto"/>
      </w:divBdr>
    </w:div>
    <w:div w:id="1564412051">
      <w:bodyDiv w:val="1"/>
      <w:marLeft w:val="0"/>
      <w:marRight w:val="0"/>
      <w:marTop w:val="0"/>
      <w:marBottom w:val="0"/>
      <w:divBdr>
        <w:top w:val="none" w:sz="0" w:space="0" w:color="auto"/>
        <w:left w:val="none" w:sz="0" w:space="0" w:color="auto"/>
        <w:bottom w:val="none" w:sz="0" w:space="0" w:color="auto"/>
        <w:right w:val="none" w:sz="0" w:space="0" w:color="auto"/>
      </w:divBdr>
    </w:div>
    <w:div w:id="1596401841">
      <w:bodyDiv w:val="1"/>
      <w:marLeft w:val="0"/>
      <w:marRight w:val="0"/>
      <w:marTop w:val="0"/>
      <w:marBottom w:val="0"/>
      <w:divBdr>
        <w:top w:val="none" w:sz="0" w:space="0" w:color="auto"/>
        <w:left w:val="none" w:sz="0" w:space="0" w:color="auto"/>
        <w:bottom w:val="none" w:sz="0" w:space="0" w:color="auto"/>
        <w:right w:val="none" w:sz="0" w:space="0" w:color="auto"/>
      </w:divBdr>
    </w:div>
    <w:div w:id="1597009997">
      <w:bodyDiv w:val="1"/>
      <w:marLeft w:val="0"/>
      <w:marRight w:val="0"/>
      <w:marTop w:val="0"/>
      <w:marBottom w:val="0"/>
      <w:divBdr>
        <w:top w:val="none" w:sz="0" w:space="0" w:color="auto"/>
        <w:left w:val="none" w:sz="0" w:space="0" w:color="auto"/>
        <w:bottom w:val="none" w:sz="0" w:space="0" w:color="auto"/>
        <w:right w:val="none" w:sz="0" w:space="0" w:color="auto"/>
      </w:divBdr>
    </w:div>
    <w:div w:id="1881546550">
      <w:bodyDiv w:val="1"/>
      <w:marLeft w:val="0"/>
      <w:marRight w:val="0"/>
      <w:marTop w:val="0"/>
      <w:marBottom w:val="0"/>
      <w:divBdr>
        <w:top w:val="none" w:sz="0" w:space="0" w:color="auto"/>
        <w:left w:val="none" w:sz="0" w:space="0" w:color="auto"/>
        <w:bottom w:val="none" w:sz="0" w:space="0" w:color="auto"/>
        <w:right w:val="none" w:sz="0" w:space="0" w:color="auto"/>
      </w:divBdr>
    </w:div>
    <w:div w:id="2074616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7.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6.xml"/><Relationship Id="rId5" Type="http://schemas.openxmlformats.org/officeDocument/2006/relationships/chart" Target="charts/chart1.xml"/><Relationship Id="rId10" Type="http://schemas.openxmlformats.org/officeDocument/2006/relationships/chart" Target="charts/chart5.xml"/><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anish\Desktop\financial%20analytics%20financial%20repo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anish\Desktop\financial%20analytics%20financial%20repor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anish\Desktop\financial%20analytics%20financial%20repor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anish\Desktop\financial%20analytics%20financial%20repor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anish\Desktop\financial%20analytics%20financial%20repor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anish\Desktop\financial%20analytics%20financial%20repor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Manish\Desktop\financial%20analytics%20financial%20report.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'INCOME STATEMENT'!$A$13</c:f>
              <c:strCache>
                <c:ptCount val="1"/>
                <c:pt idx="0">
                  <c:v>Total Revenue</c:v>
                </c:pt>
              </c:strCache>
            </c:strRef>
          </c:tx>
          <c:spPr>
            <a:ln w="28575" cap="rnd">
              <a:solidFill>
                <a:schemeClr val="accent1"/>
              </a:solidFill>
              <a:round/>
            </a:ln>
            <a:effectLst/>
          </c:spPr>
          <c:marker>
            <c:symbol val="none"/>
          </c:marker>
          <c:cat>
            <c:numRef>
              <c:f>'INCOME STATEMENT'!$B$6:$K$6</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'INCOME STATEMENT'!$B$13:$L$13</c:f>
              <c:numCache>
                <c:formatCode>0</c:formatCode>
                <c:ptCount val="11"/>
                <c:pt idx="0">
                  <c:v>4681507</c:v>
                </c:pt>
                <c:pt idx="1">
                  <c:v>5010000</c:v>
                </c:pt>
                <c:pt idx="2">
                  <c:v>6910000</c:v>
                </c:pt>
                <c:pt idx="3">
                  <c:v>9714000</c:v>
                </c:pt>
                <c:pt idx="4">
                  <c:v>11716000</c:v>
                </c:pt>
                <c:pt idx="5">
                  <c:v>10918000</c:v>
                </c:pt>
                <c:pt idx="6">
                  <c:v>16675000</c:v>
                </c:pt>
                <c:pt idx="7">
                  <c:v>26914000</c:v>
                </c:pt>
                <c:pt idx="8">
                  <c:v>26974000</c:v>
                </c:pt>
                <c:pt idx="9">
                  <c:v>60922000</c:v>
                </c:pt>
              </c:numCache>
            </c:numRef>
          </c:val>
          <c:smooth val="0"/>
          <c:extLst>
            <c:ext xmlns:c16="http://schemas.microsoft.com/office/drawing/2014/chart" uri="{C3380CC4-5D6E-409C-BE32-E72D297353CC}">
              <c16:uniqueId val="{00000000-BC09-4D82-B1BA-A42C50ABDD26}"/>
            </c:ext>
          </c:extLst>
        </c:ser>
        <c:dLbls>
          <c:showLegendKey val="0"/>
          <c:showVal val="0"/>
          <c:showCatName val="0"/>
          <c:showSerName val="0"/>
          <c:showPercent val="0"/>
          <c:showBubbleSize val="0"/>
        </c:dLbls>
        <c:smooth val="0"/>
        <c:axId val="736882496"/>
        <c:axId val="736883216"/>
      </c:lineChart>
      <c:catAx>
        <c:axId val="736882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6883216"/>
        <c:crosses val="autoZero"/>
        <c:auto val="1"/>
        <c:lblAlgn val="ctr"/>
        <c:lblOffset val="100"/>
        <c:noMultiLvlLbl val="0"/>
      </c:catAx>
      <c:valAx>
        <c:axId val="7368832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68824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'INCOME STATEMENT'!$A$15</c:f>
              <c:strCache>
                <c:ptCount val="1"/>
                <c:pt idx="0">
                  <c:v>Gross Profit</c:v>
                </c:pt>
              </c:strCache>
            </c:strRef>
          </c:tx>
          <c:spPr>
            <a:solidFill>
              <a:schemeClr val="accent1"/>
            </a:solidFill>
            <a:ln>
              <a:noFill/>
            </a:ln>
            <a:effectLst/>
          </c:spPr>
          <c:invertIfNegative val="0"/>
          <c:cat>
            <c:numRef>
              <c:f>'INCOME STATEMENT'!$B$6:$K$6</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'INCOME STATEMENT'!$B$15:$L$15</c:f>
              <c:numCache>
                <c:formatCode>0</c:formatCode>
                <c:ptCount val="11"/>
                <c:pt idx="0">
                  <c:v>2599477</c:v>
                </c:pt>
                <c:pt idx="1">
                  <c:v>2811000</c:v>
                </c:pt>
                <c:pt idx="2">
                  <c:v>4063000</c:v>
                </c:pt>
                <c:pt idx="3">
                  <c:v>5822000</c:v>
                </c:pt>
                <c:pt idx="4">
                  <c:v>7171000</c:v>
                </c:pt>
                <c:pt idx="5">
                  <c:v>6768000</c:v>
                </c:pt>
                <c:pt idx="6">
                  <c:v>10396000</c:v>
                </c:pt>
                <c:pt idx="7">
                  <c:v>17475000</c:v>
                </c:pt>
                <c:pt idx="8">
                  <c:v>15356000</c:v>
                </c:pt>
                <c:pt idx="9">
                  <c:v>44301000</c:v>
                </c:pt>
              </c:numCache>
            </c:numRef>
          </c:val>
          <c:extLst>
            <c:ext xmlns:c16="http://schemas.microsoft.com/office/drawing/2014/chart" uri="{C3380CC4-5D6E-409C-BE32-E72D297353CC}">
              <c16:uniqueId val="{00000000-69D8-4349-936D-806BE280F752}"/>
            </c:ext>
          </c:extLst>
        </c:ser>
        <c:dLbls>
          <c:showLegendKey val="0"/>
          <c:showVal val="0"/>
          <c:showCatName val="0"/>
          <c:showSerName val="0"/>
          <c:showPercent val="0"/>
          <c:showBubbleSize val="0"/>
        </c:dLbls>
        <c:gapWidth val="219"/>
        <c:overlap val="-27"/>
        <c:axId val="778381776"/>
        <c:axId val="778381056"/>
      </c:barChart>
      <c:catAx>
        <c:axId val="778381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8381056"/>
        <c:crosses val="autoZero"/>
        <c:auto val="1"/>
        <c:lblAlgn val="ctr"/>
        <c:lblOffset val="100"/>
        <c:noMultiLvlLbl val="0"/>
      </c:catAx>
      <c:valAx>
        <c:axId val="77838105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83817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'INCOME STATEMENT'!$A$19</c:f>
              <c:strCache>
                <c:ptCount val="1"/>
                <c:pt idx="0">
                  <c:v>Operating Income</c:v>
                </c:pt>
              </c:strCache>
            </c:strRef>
          </c:tx>
          <c:spPr>
            <a:solidFill>
              <a:schemeClr val="accent1"/>
            </a:solidFill>
            <a:ln>
              <a:noFill/>
            </a:ln>
            <a:effectLst/>
          </c:spPr>
          <c:invertIfNegative val="0"/>
          <c:cat>
            <c:numRef>
              <c:f>'INCOME STATEMENT'!$B$6:$K$6</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'INCOME STATEMENT'!$B$19:$L$19</c:f>
              <c:numCache>
                <c:formatCode>0</c:formatCode>
                <c:ptCount val="11"/>
                <c:pt idx="0">
                  <c:v>758989</c:v>
                </c:pt>
                <c:pt idx="1">
                  <c:v>747000</c:v>
                </c:pt>
                <c:pt idx="2">
                  <c:v>1934000</c:v>
                </c:pt>
                <c:pt idx="3">
                  <c:v>3210000</c:v>
                </c:pt>
                <c:pt idx="4">
                  <c:v>3804000</c:v>
                </c:pt>
                <c:pt idx="5">
                  <c:v>2846000</c:v>
                </c:pt>
                <c:pt idx="6">
                  <c:v>4532000</c:v>
                </c:pt>
                <c:pt idx="7">
                  <c:v>10041000</c:v>
                </c:pt>
                <c:pt idx="8">
                  <c:v>4224000</c:v>
                </c:pt>
                <c:pt idx="9">
                  <c:v>32972000</c:v>
                </c:pt>
              </c:numCache>
            </c:numRef>
          </c:val>
          <c:extLst>
            <c:ext xmlns:c16="http://schemas.microsoft.com/office/drawing/2014/chart" uri="{C3380CC4-5D6E-409C-BE32-E72D297353CC}">
              <c16:uniqueId val="{00000000-2AAB-45E3-A6F9-E624A1B588A9}"/>
            </c:ext>
          </c:extLst>
        </c:ser>
        <c:dLbls>
          <c:showLegendKey val="0"/>
          <c:showVal val="0"/>
          <c:showCatName val="0"/>
          <c:showSerName val="0"/>
          <c:showPercent val="0"/>
          <c:showBubbleSize val="0"/>
        </c:dLbls>
        <c:gapWidth val="219"/>
        <c:overlap val="-27"/>
        <c:axId val="778168480"/>
        <c:axId val="778168840"/>
      </c:barChart>
      <c:catAx>
        <c:axId val="778168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8168840"/>
        <c:crosses val="autoZero"/>
        <c:auto val="1"/>
        <c:lblAlgn val="ctr"/>
        <c:lblOffset val="100"/>
        <c:noMultiLvlLbl val="0"/>
      </c:catAx>
      <c:valAx>
        <c:axId val="7781688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81684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'BALANCE SHEET '!$A$23</c:f>
              <c:strCache>
                <c:ptCount val="1"/>
                <c:pt idx="0">
                  <c:v>Total Assets</c:v>
                </c:pt>
              </c:strCache>
            </c:strRef>
          </c:tx>
          <c:spPr>
            <a:solidFill>
              <a:schemeClr val="accent1"/>
            </a:solidFill>
            <a:ln>
              <a:noFill/>
            </a:ln>
            <a:effectLst/>
          </c:spPr>
          <c:invertIfNegative val="0"/>
          <c:cat>
            <c:numRef>
              <c:f>'BALANCE SHEET '!$B$6:$K$6</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'BALANCE SHEET '!$B$23:$L$23</c:f>
              <c:numCache>
                <c:formatCode>[$$-409]#,##0.00</c:formatCode>
                <c:ptCount val="11"/>
                <c:pt idx="0">
                  <c:v>7201368</c:v>
                </c:pt>
                <c:pt idx="1">
                  <c:v>7370000</c:v>
                </c:pt>
                <c:pt idx="2">
                  <c:v>9841000</c:v>
                </c:pt>
                <c:pt idx="3">
                  <c:v>11241000</c:v>
                </c:pt>
                <c:pt idx="4">
                  <c:v>13292000</c:v>
                </c:pt>
                <c:pt idx="5">
                  <c:v>17315000</c:v>
                </c:pt>
                <c:pt idx="6">
                  <c:v>28791000</c:v>
                </c:pt>
                <c:pt idx="7">
                  <c:v>44187000</c:v>
                </c:pt>
                <c:pt idx="8">
                  <c:v>41182000</c:v>
                </c:pt>
                <c:pt idx="9">
                  <c:v>65728000</c:v>
                </c:pt>
              </c:numCache>
            </c:numRef>
          </c:val>
          <c:extLst>
            <c:ext xmlns:c16="http://schemas.microsoft.com/office/drawing/2014/chart" uri="{C3380CC4-5D6E-409C-BE32-E72D297353CC}">
              <c16:uniqueId val="{00000000-10C7-4B67-A2D8-0DB3156FBDFC}"/>
            </c:ext>
          </c:extLst>
        </c:ser>
        <c:dLbls>
          <c:showLegendKey val="0"/>
          <c:showVal val="0"/>
          <c:showCatName val="0"/>
          <c:showSerName val="0"/>
          <c:showPercent val="0"/>
          <c:showBubbleSize val="0"/>
        </c:dLbls>
        <c:gapWidth val="219"/>
        <c:overlap val="-27"/>
        <c:axId val="805694384"/>
        <c:axId val="805691504"/>
      </c:barChart>
      <c:catAx>
        <c:axId val="805694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5691504"/>
        <c:crosses val="autoZero"/>
        <c:auto val="1"/>
        <c:lblAlgn val="ctr"/>
        <c:lblOffset val="100"/>
        <c:noMultiLvlLbl val="0"/>
      </c:catAx>
      <c:valAx>
        <c:axId val="805691504"/>
        <c:scaling>
          <c:orientation val="minMax"/>
        </c:scaling>
        <c:delete val="0"/>
        <c:axPos val="l"/>
        <c:majorGridlines>
          <c:spPr>
            <a:ln w="9525" cap="flat" cmpd="sng" algn="ctr">
              <a:solidFill>
                <a:schemeClr val="tx1">
                  <a:lumMod val="15000"/>
                  <a:lumOff val="85000"/>
                </a:schemeClr>
              </a:solidFill>
              <a:round/>
            </a:ln>
            <a:effectLst/>
          </c:spPr>
        </c:majorGridlines>
        <c:numFmt formatCode="[$$-409]#,##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56943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Profitability</a:t>
            </a:r>
            <a:r>
              <a:rPr lang="en-IN" baseline="0"/>
              <a:t> Ratio</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'FINANCIAL RATIOS'!$A$2</c:f>
              <c:strCache>
                <c:ptCount val="1"/>
                <c:pt idx="0">
                  <c:v>Revenue Growth</c:v>
                </c:pt>
              </c:strCache>
            </c:strRef>
          </c:tx>
          <c:spPr>
            <a:solidFill>
              <a:schemeClr val="accent1"/>
            </a:solidFill>
            <a:ln>
              <a:noFill/>
            </a:ln>
            <a:effectLst/>
          </c:spPr>
          <c:invertIfNegative val="0"/>
          <c:cat>
            <c:numRef>
              <c:f>'FINANCIAL RATIOS'!$B$1:$K$1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'FINANCIAL RATIOS'!$B$2:$K$2</c:f>
              <c:numCache>
                <c:formatCode>General</c:formatCode>
                <c:ptCount val="10"/>
                <c:pt idx="0">
                  <c:v>1</c:v>
                </c:pt>
                <c:pt idx="1">
                  <c:v>7.0168217200145169E-2</c:v>
                </c:pt>
                <c:pt idx="2">
                  <c:v>0.37924151696606784</c:v>
                </c:pt>
                <c:pt idx="3">
                  <c:v>0.4057887120115774</c:v>
                </c:pt>
                <c:pt idx="4">
                  <c:v>0.20609429689108502</c:v>
                </c:pt>
                <c:pt idx="5">
                  <c:v>-6.8111983612154314E-2</c:v>
                </c:pt>
                <c:pt idx="6">
                  <c:v>0.52729437625938813</c:v>
                </c:pt>
                <c:pt idx="7">
                  <c:v>0.61403298350824587</c:v>
                </c:pt>
                <c:pt idx="8">
                  <c:v>2.2293230289068887E-3</c:v>
                </c:pt>
                <c:pt idx="9">
                  <c:v>1.2585452658115222</c:v>
                </c:pt>
              </c:numCache>
            </c:numRef>
          </c:val>
          <c:extLst>
            <c:ext xmlns:c16="http://schemas.microsoft.com/office/drawing/2014/chart" uri="{C3380CC4-5D6E-409C-BE32-E72D297353CC}">
              <c16:uniqueId val="{00000000-E9E6-41DD-9536-1723B014F4FD}"/>
            </c:ext>
          </c:extLst>
        </c:ser>
        <c:ser>
          <c:idx val="1"/>
          <c:order val="1"/>
          <c:tx>
            <c:strRef>
              <c:f>'FINANCIAL RATIOS'!$A$3</c:f>
              <c:strCache>
                <c:ptCount val="1"/>
                <c:pt idx="0">
                  <c:v>Net Profit Margin </c:v>
                </c:pt>
              </c:strCache>
            </c:strRef>
          </c:tx>
          <c:spPr>
            <a:solidFill>
              <a:schemeClr val="accent2"/>
            </a:solidFill>
            <a:ln>
              <a:noFill/>
            </a:ln>
            <a:effectLst/>
          </c:spPr>
          <c:invertIfNegative val="0"/>
          <c:cat>
            <c:numRef>
              <c:f>'FINANCIAL RATIOS'!$B$1:$K$1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'FINANCIAL RATIOS'!$B$3:$K$3</c:f>
              <c:numCache>
                <c:formatCode>General</c:formatCode>
                <c:ptCount val="10"/>
                <c:pt idx="0">
                  <c:v>0.13469743823943872</c:v>
                </c:pt>
                <c:pt idx="1">
                  <c:v>0.12255489021956088</c:v>
                </c:pt>
                <c:pt idx="2">
                  <c:v>0.24109985528219971</c:v>
                </c:pt>
                <c:pt idx="3">
                  <c:v>0.3136709903232448</c:v>
                </c:pt>
                <c:pt idx="4">
                  <c:v>0.35344827586206895</c:v>
                </c:pt>
                <c:pt idx="5">
                  <c:v>0.25609085913170909</c:v>
                </c:pt>
                <c:pt idx="6">
                  <c:v>0.25979010494752625</c:v>
                </c:pt>
                <c:pt idx="7">
                  <c:v>0.36233930296499961</c:v>
                </c:pt>
                <c:pt idx="8">
                  <c:v>0.16193371394676356</c:v>
                </c:pt>
                <c:pt idx="9">
                  <c:v>0.4884934834706674</c:v>
                </c:pt>
              </c:numCache>
            </c:numRef>
          </c:val>
          <c:extLst>
            <c:ext xmlns:c16="http://schemas.microsoft.com/office/drawing/2014/chart" uri="{C3380CC4-5D6E-409C-BE32-E72D297353CC}">
              <c16:uniqueId val="{00000001-E9E6-41DD-9536-1723B014F4FD}"/>
            </c:ext>
          </c:extLst>
        </c:ser>
        <c:ser>
          <c:idx val="2"/>
          <c:order val="2"/>
          <c:tx>
            <c:strRef>
              <c:f>'FINANCIAL RATIOS'!$A$4</c:f>
              <c:strCache>
                <c:ptCount val="1"/>
                <c:pt idx="0">
                  <c:v>Gross Profit Margin </c:v>
                </c:pt>
              </c:strCache>
            </c:strRef>
          </c:tx>
          <c:spPr>
            <a:solidFill>
              <a:schemeClr val="accent3"/>
            </a:solidFill>
            <a:ln>
              <a:noFill/>
            </a:ln>
            <a:effectLst/>
          </c:spPr>
          <c:invertIfNegative val="0"/>
          <c:cat>
            <c:numRef>
              <c:f>'FINANCIAL RATIOS'!$B$1:$K$1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'FINANCIAL RATIOS'!$B$4:$K$4</c:f>
              <c:numCache>
                <c:formatCode>General</c:formatCode>
                <c:ptCount val="10"/>
                <c:pt idx="0">
                  <c:v>0.55526500334187257</c:v>
                </c:pt>
                <c:pt idx="1">
                  <c:v>0.56107784431137719</c:v>
                </c:pt>
                <c:pt idx="2">
                  <c:v>0.58798842257597683</c:v>
                </c:pt>
                <c:pt idx="3">
                  <c:v>0.59934115709285563</c:v>
                </c:pt>
                <c:pt idx="4">
                  <c:v>0.61206896551724133</c:v>
                </c:pt>
                <c:pt idx="5">
                  <c:v>0.61989375343469499</c:v>
                </c:pt>
                <c:pt idx="6">
                  <c:v>0.62344827586206897</c:v>
                </c:pt>
                <c:pt idx="7">
                  <c:v>0.64929033216913135</c:v>
                </c:pt>
                <c:pt idx="8">
                  <c:v>0.56928894490991322</c:v>
                </c:pt>
                <c:pt idx="9">
                  <c:v>0.72717573290436954</c:v>
                </c:pt>
              </c:numCache>
            </c:numRef>
          </c:val>
          <c:extLst>
            <c:ext xmlns:c16="http://schemas.microsoft.com/office/drawing/2014/chart" uri="{C3380CC4-5D6E-409C-BE32-E72D297353CC}">
              <c16:uniqueId val="{00000002-E9E6-41DD-9536-1723B014F4FD}"/>
            </c:ext>
          </c:extLst>
        </c:ser>
        <c:ser>
          <c:idx val="3"/>
          <c:order val="3"/>
          <c:tx>
            <c:strRef>
              <c:f>'FINANCIAL RATIOS'!$A$5</c:f>
              <c:strCache>
                <c:ptCount val="1"/>
                <c:pt idx="0">
                  <c:v>Operating Income</c:v>
                </c:pt>
              </c:strCache>
            </c:strRef>
          </c:tx>
          <c:spPr>
            <a:solidFill>
              <a:schemeClr val="accent4"/>
            </a:solidFill>
            <a:ln>
              <a:noFill/>
            </a:ln>
            <a:effectLst/>
          </c:spPr>
          <c:invertIfNegative val="0"/>
          <c:cat>
            <c:numRef>
              <c:f>'FINANCIAL RATIOS'!$B$1:$K$1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'FINANCIAL RATIOS'!$B$5:$K$5</c:f>
              <c:numCache>
                <c:formatCode>General</c:formatCode>
                <c:ptCount val="10"/>
                <c:pt idx="0">
                  <c:v>0.16212493113862694</c:v>
                </c:pt>
                <c:pt idx="1">
                  <c:v>0.14910179640718563</c:v>
                </c:pt>
                <c:pt idx="2">
                  <c:v>0.27988422575976846</c:v>
                </c:pt>
                <c:pt idx="3">
                  <c:v>0.33045089561457691</c:v>
                </c:pt>
                <c:pt idx="4">
                  <c:v>0.32468419255718678</c:v>
                </c:pt>
                <c:pt idx="5">
                  <c:v>0.2606704524638212</c:v>
                </c:pt>
                <c:pt idx="6">
                  <c:v>0.27178410794602698</c:v>
                </c:pt>
                <c:pt idx="7">
                  <c:v>0.37307720888756779</c:v>
                </c:pt>
                <c:pt idx="8">
                  <c:v>0.1565952398606065</c:v>
                </c:pt>
                <c:pt idx="9">
                  <c:v>0.54121663766783756</c:v>
                </c:pt>
              </c:numCache>
            </c:numRef>
          </c:val>
          <c:extLst>
            <c:ext xmlns:c16="http://schemas.microsoft.com/office/drawing/2014/chart" uri="{C3380CC4-5D6E-409C-BE32-E72D297353CC}">
              <c16:uniqueId val="{00000003-E9E6-41DD-9536-1723B014F4FD}"/>
            </c:ext>
          </c:extLst>
        </c:ser>
        <c:ser>
          <c:idx val="4"/>
          <c:order val="4"/>
          <c:tx>
            <c:strRef>
              <c:f>'FINANCIAL RATIOS'!$A$6</c:f>
              <c:strCache>
                <c:ptCount val="1"/>
                <c:pt idx="0">
                  <c:v>Return On Assets</c:v>
                </c:pt>
              </c:strCache>
            </c:strRef>
          </c:tx>
          <c:spPr>
            <a:solidFill>
              <a:schemeClr val="accent5"/>
            </a:solidFill>
            <a:ln>
              <a:noFill/>
            </a:ln>
            <a:effectLst/>
          </c:spPr>
          <c:invertIfNegative val="0"/>
          <c:cat>
            <c:numRef>
              <c:f>'FINANCIAL RATIOS'!$B$1:$K$1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'FINANCIAL RATIOS'!$B$6:$K$6</c:f>
              <c:numCache>
                <c:formatCode>General</c:formatCode>
                <c:ptCount val="10"/>
                <c:pt idx="0">
                  <c:v>8.7564890448592544E-2</c:v>
                </c:pt>
                <c:pt idx="1">
                  <c:v>8.3310719131614655E-2</c:v>
                </c:pt>
                <c:pt idx="2">
                  <c:v>0.16929173864444672</c:v>
                </c:pt>
                <c:pt idx="3">
                  <c:v>0.27106129347922781</c:v>
                </c:pt>
                <c:pt idx="4">
                  <c:v>0.31154077640686129</c:v>
                </c:pt>
                <c:pt idx="5">
                  <c:v>0.16147848686110308</c:v>
                </c:pt>
                <c:pt idx="6">
                  <c:v>0.15046368656871939</c:v>
                </c:pt>
                <c:pt idx="7">
                  <c:v>0.22069839545567702</c:v>
                </c:pt>
                <c:pt idx="8">
                  <c:v>0.10606575688407557</c:v>
                </c:pt>
                <c:pt idx="9">
                  <c:v>0.45277507302823761</c:v>
                </c:pt>
              </c:numCache>
            </c:numRef>
          </c:val>
          <c:extLst>
            <c:ext xmlns:c16="http://schemas.microsoft.com/office/drawing/2014/chart" uri="{C3380CC4-5D6E-409C-BE32-E72D297353CC}">
              <c16:uniqueId val="{00000004-E9E6-41DD-9536-1723B014F4FD}"/>
            </c:ext>
          </c:extLst>
        </c:ser>
        <c:ser>
          <c:idx val="5"/>
          <c:order val="5"/>
          <c:tx>
            <c:strRef>
              <c:f>'FINANCIAL RATIOS'!$A$7</c:f>
              <c:strCache>
                <c:ptCount val="1"/>
                <c:pt idx="0">
                  <c:v>Return on equity </c:v>
                </c:pt>
              </c:strCache>
            </c:strRef>
          </c:tx>
          <c:spPr>
            <a:solidFill>
              <a:schemeClr val="accent6"/>
            </a:solidFill>
            <a:ln>
              <a:noFill/>
            </a:ln>
            <a:effectLst/>
          </c:spPr>
          <c:invertIfNegative val="0"/>
          <c:cat>
            <c:numRef>
              <c:f>'FINANCIAL RATIOS'!$B$1:$K$1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'FINANCIAL RATIOS'!$B$7:$K$7</c:f>
              <c:numCache>
                <c:formatCode>General</c:formatCode>
                <c:ptCount val="10"/>
                <c:pt idx="0">
                  <c:v>0.14273190791632923</c:v>
                </c:pt>
                <c:pt idx="1">
                  <c:v>0.13476733977172958</c:v>
                </c:pt>
                <c:pt idx="2">
                  <c:v>0.28758846884170552</c:v>
                </c:pt>
                <c:pt idx="3">
                  <c:v>0.40784366216035339</c:v>
                </c:pt>
                <c:pt idx="4">
                  <c:v>0.44326696638835367</c:v>
                </c:pt>
                <c:pt idx="5">
                  <c:v>0.22910521140609635</c:v>
                </c:pt>
                <c:pt idx="6">
                  <c:v>0.25643757769490322</c:v>
                </c:pt>
                <c:pt idx="7">
                  <c:v>0.36645122501127309</c:v>
                </c:pt>
                <c:pt idx="8">
                  <c:v>0.19763811592235644</c:v>
                </c:pt>
                <c:pt idx="9">
                  <c:v>0.69244729861789756</c:v>
                </c:pt>
              </c:numCache>
            </c:numRef>
          </c:val>
          <c:extLst>
            <c:ext xmlns:c16="http://schemas.microsoft.com/office/drawing/2014/chart" uri="{C3380CC4-5D6E-409C-BE32-E72D297353CC}">
              <c16:uniqueId val="{00000005-E9E6-41DD-9536-1723B014F4FD}"/>
            </c:ext>
          </c:extLst>
        </c:ser>
        <c:dLbls>
          <c:showLegendKey val="0"/>
          <c:showVal val="0"/>
          <c:showCatName val="0"/>
          <c:showSerName val="0"/>
          <c:showPercent val="0"/>
          <c:showBubbleSize val="0"/>
        </c:dLbls>
        <c:gapWidth val="219"/>
        <c:overlap val="-27"/>
        <c:axId val="1119484416"/>
        <c:axId val="1119486936"/>
      </c:barChart>
      <c:catAx>
        <c:axId val="1119484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9486936"/>
        <c:crosses val="autoZero"/>
        <c:auto val="1"/>
        <c:lblAlgn val="ctr"/>
        <c:lblOffset val="100"/>
        <c:noMultiLvlLbl val="0"/>
      </c:catAx>
      <c:valAx>
        <c:axId val="1119486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94844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Liquidity</a:t>
            </a:r>
            <a:r>
              <a:rPr lang="en-IN" baseline="0"/>
              <a:t> Ratio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'FINANCIAL RATIOS'!$A$9</c:f>
              <c:strCache>
                <c:ptCount val="1"/>
                <c:pt idx="0">
                  <c:v>Current Ratio</c:v>
                </c:pt>
              </c:strCache>
            </c:strRef>
          </c:tx>
          <c:spPr>
            <a:solidFill>
              <a:schemeClr val="accent1"/>
            </a:solidFill>
            <a:ln>
              <a:noFill/>
            </a:ln>
            <a:effectLst/>
          </c:spPr>
          <c:invertIfNegative val="0"/>
          <c:cat>
            <c:numRef>
              <c:f>'FINANCIAL RATIOS'!$B$1:$K$1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'FINANCIAL RATIOS'!$B$9:$K$9</c:f>
              <c:numCache>
                <c:formatCode>General</c:formatCode>
                <c:ptCount val="10"/>
                <c:pt idx="0">
                  <c:v>6.3762340546633487</c:v>
                </c:pt>
                <c:pt idx="1">
                  <c:v>2.5746490854955337</c:v>
                </c:pt>
                <c:pt idx="2">
                  <c:v>4.7740492170022373</c:v>
                </c:pt>
                <c:pt idx="3">
                  <c:v>8.0268863833477884</c:v>
                </c:pt>
                <c:pt idx="4">
                  <c:v>7.9435665914221216</c:v>
                </c:pt>
                <c:pt idx="5">
                  <c:v>7.6737668161434973</c:v>
                </c:pt>
                <c:pt idx="6">
                  <c:v>4.0904458598726112</c:v>
                </c:pt>
                <c:pt idx="7">
                  <c:v>6.6502883506343711</c:v>
                </c:pt>
                <c:pt idx="8">
                  <c:v>3.5156178576870332</c:v>
                </c:pt>
                <c:pt idx="9">
                  <c:v>4.1712915059730973</c:v>
                </c:pt>
              </c:numCache>
            </c:numRef>
          </c:val>
          <c:extLst>
            <c:ext xmlns:c16="http://schemas.microsoft.com/office/drawing/2014/chart" uri="{C3380CC4-5D6E-409C-BE32-E72D297353CC}">
              <c16:uniqueId val="{00000000-6731-4AD6-8A3E-38DFE47771CD}"/>
            </c:ext>
          </c:extLst>
        </c:ser>
        <c:ser>
          <c:idx val="1"/>
          <c:order val="1"/>
          <c:tx>
            <c:strRef>
              <c:f>'FINANCIAL RATIOS'!$A$10</c:f>
              <c:strCache>
                <c:ptCount val="1"/>
                <c:pt idx="0">
                  <c:v>Quick Ratios</c:v>
                </c:pt>
              </c:strCache>
            </c:strRef>
          </c:tx>
          <c:spPr>
            <a:solidFill>
              <a:schemeClr val="accent2"/>
            </a:solidFill>
            <a:ln>
              <a:noFill/>
            </a:ln>
            <a:effectLst/>
          </c:spPr>
          <c:invertIfNegative val="0"/>
          <c:cat>
            <c:numRef>
              <c:f>'FINANCIAL RATIOS'!$B$1:$K$1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'FINANCIAL RATIOS'!$B$10:$K$10</c:f>
              <c:numCache>
                <c:formatCode>General</c:formatCode>
                <c:ptCount val="10"/>
                <c:pt idx="0">
                  <c:v>5.6883988259321674</c:v>
                </c:pt>
                <c:pt idx="1">
                  <c:v>2.3572947681837517</c:v>
                </c:pt>
                <c:pt idx="2">
                  <c:v>4.2639821029082778</c:v>
                </c:pt>
                <c:pt idx="3">
                  <c:v>7.2619254119687771</c:v>
                </c:pt>
                <c:pt idx="4">
                  <c:v>6.6561324303987961</c:v>
                </c:pt>
                <c:pt idx="5">
                  <c:v>7.0369955156950672</c:v>
                </c:pt>
                <c:pt idx="6">
                  <c:v>3.5643312101910829</c:v>
                </c:pt>
                <c:pt idx="7">
                  <c:v>5.9649365628604381</c:v>
                </c:pt>
                <c:pt idx="8">
                  <c:v>2.6090202651226573</c:v>
                </c:pt>
                <c:pt idx="9">
                  <c:v>3.3847239206095381</c:v>
                </c:pt>
              </c:numCache>
            </c:numRef>
          </c:val>
          <c:extLst>
            <c:ext xmlns:c16="http://schemas.microsoft.com/office/drawing/2014/chart" uri="{C3380CC4-5D6E-409C-BE32-E72D297353CC}">
              <c16:uniqueId val="{00000001-6731-4AD6-8A3E-38DFE47771CD}"/>
            </c:ext>
          </c:extLst>
        </c:ser>
        <c:ser>
          <c:idx val="2"/>
          <c:order val="2"/>
          <c:tx>
            <c:strRef>
              <c:f>'FINANCIAL RATIOS'!$A$11</c:f>
              <c:strCache>
                <c:ptCount val="1"/>
                <c:pt idx="0">
                  <c:v>Cash Ratio</c:v>
                </c:pt>
              </c:strCache>
            </c:strRef>
          </c:tx>
          <c:spPr>
            <a:solidFill>
              <a:schemeClr val="accent3"/>
            </a:solidFill>
            <a:ln>
              <a:noFill/>
            </a:ln>
            <a:effectLst/>
          </c:spPr>
          <c:invertIfNegative val="0"/>
          <c:cat>
            <c:numRef>
              <c:f>'FINANCIAL RATIOS'!$B$1:$K$1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'FINANCIAL RATIOS'!$B$11:$K$11</c:f>
              <c:numCache>
                <c:formatCode>General</c:formatCode>
                <c:ptCount val="10"/>
                <c:pt idx="0">
                  <c:v>0.17843518649587228</c:v>
                </c:pt>
                <c:pt idx="1">
                  <c:v>0.21179815209665956</c:v>
                </c:pt>
                <c:pt idx="2">
                  <c:v>0.43626482213438733</c:v>
                </c:pt>
                <c:pt idx="3">
                  <c:v>1.0615384615384615</c:v>
                </c:pt>
                <c:pt idx="4">
                  <c:v>0.19797468354430381</c:v>
                </c:pt>
                <c:pt idx="5">
                  <c:v>2.1318724320093914</c:v>
                </c:pt>
                <c:pt idx="6">
                  <c:v>7.118843503109766E-2</c:v>
                </c:pt>
                <c:pt idx="7">
                  <c:v>0.11322901849217638</c:v>
                </c:pt>
                <c:pt idx="8">
                  <c:v>0.17761123630836959</c:v>
                </c:pt>
                <c:pt idx="9">
                  <c:v>0.32</c:v>
                </c:pt>
              </c:numCache>
            </c:numRef>
          </c:val>
          <c:extLst>
            <c:ext xmlns:c16="http://schemas.microsoft.com/office/drawing/2014/chart" uri="{C3380CC4-5D6E-409C-BE32-E72D297353CC}">
              <c16:uniqueId val="{00000002-6731-4AD6-8A3E-38DFE47771CD}"/>
            </c:ext>
          </c:extLst>
        </c:ser>
        <c:dLbls>
          <c:showLegendKey val="0"/>
          <c:showVal val="0"/>
          <c:showCatName val="0"/>
          <c:showSerName val="0"/>
          <c:showPercent val="0"/>
          <c:showBubbleSize val="0"/>
        </c:dLbls>
        <c:gapWidth val="219"/>
        <c:overlap val="-27"/>
        <c:axId val="1119483336"/>
        <c:axId val="1119480816"/>
      </c:barChart>
      <c:catAx>
        <c:axId val="1119483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9480816"/>
        <c:crosses val="autoZero"/>
        <c:auto val="1"/>
        <c:lblAlgn val="ctr"/>
        <c:lblOffset val="100"/>
        <c:noMultiLvlLbl val="0"/>
      </c:catAx>
      <c:valAx>
        <c:axId val="1119480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9483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Leverage Ratio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'FINANCIAL RATIOS'!$A$13</c:f>
              <c:strCache>
                <c:ptCount val="1"/>
                <c:pt idx="0">
                  <c:v>Debt to Equity Ratio</c:v>
                </c:pt>
              </c:strCache>
            </c:strRef>
          </c:tx>
          <c:spPr>
            <a:solidFill>
              <a:schemeClr val="accent1"/>
            </a:solidFill>
            <a:ln>
              <a:noFill/>
            </a:ln>
            <a:effectLst/>
          </c:spPr>
          <c:invertIfNegative val="0"/>
          <c:cat>
            <c:numRef>
              <c:f>'FINANCIAL RATIOS'!$B$1:$K$1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'FINANCIAL RATIOS'!$B$13:$K$13</c:f>
              <c:numCache>
                <c:formatCode>General</c:formatCode>
                <c:ptCount val="10"/>
                <c:pt idx="0">
                  <c:v>0.63001297877628293</c:v>
                </c:pt>
                <c:pt idx="1">
                  <c:v>0.61764705882352944</c:v>
                </c:pt>
                <c:pt idx="2">
                  <c:v>0.69877438287588467</c:v>
                </c:pt>
                <c:pt idx="3">
                  <c:v>0.50461785570874051</c:v>
                </c:pt>
                <c:pt idx="4">
                  <c:v>0.42282166559623208</c:v>
                </c:pt>
                <c:pt idx="5">
                  <c:v>0.41879711569977057</c:v>
                </c:pt>
                <c:pt idx="6">
                  <c:v>0.7043153969099627</c:v>
                </c:pt>
                <c:pt idx="7">
                  <c:v>0.66041635352472572</c:v>
                </c:pt>
                <c:pt idx="8">
                  <c:v>0.8633545993393964</c:v>
                </c:pt>
                <c:pt idx="9">
                  <c:v>0.52934059286146395</c:v>
                </c:pt>
              </c:numCache>
            </c:numRef>
          </c:val>
          <c:extLst>
            <c:ext xmlns:c16="http://schemas.microsoft.com/office/drawing/2014/chart" uri="{C3380CC4-5D6E-409C-BE32-E72D297353CC}">
              <c16:uniqueId val="{00000000-3FD5-4CF1-A825-EC3EFD39D72C}"/>
            </c:ext>
          </c:extLst>
        </c:ser>
        <c:ser>
          <c:idx val="1"/>
          <c:order val="1"/>
          <c:tx>
            <c:strRef>
              <c:f>'FINANCIAL RATIOS'!$A$14</c:f>
              <c:strCache>
                <c:ptCount val="1"/>
                <c:pt idx="0">
                  <c:v>Debt Ratio</c:v>
                </c:pt>
              </c:strCache>
            </c:strRef>
          </c:tx>
          <c:spPr>
            <a:solidFill>
              <a:schemeClr val="accent2"/>
            </a:solidFill>
            <a:ln>
              <a:noFill/>
            </a:ln>
            <a:effectLst/>
          </c:spPr>
          <c:invertIfNegative val="0"/>
          <c:cat>
            <c:numRef>
              <c:f>'FINANCIAL RATIOS'!$B$1:$K$1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'FINANCIAL RATIOS'!$B$14:$K$14</c:f>
              <c:numCache>
                <c:formatCode>General</c:formatCode>
                <c:ptCount val="10"/>
                <c:pt idx="0">
                  <c:v>0.38650795237793706</c:v>
                </c:pt>
                <c:pt idx="1">
                  <c:v>0.38181818181818183</c:v>
                </c:pt>
                <c:pt idx="2">
                  <c:v>0.41134031094400975</c:v>
                </c:pt>
                <c:pt idx="3">
                  <c:v>0.33537941464282539</c:v>
                </c:pt>
                <c:pt idx="4">
                  <c:v>0.29717123081552815</c:v>
                </c:pt>
                <c:pt idx="5">
                  <c:v>0.29517759168351143</c:v>
                </c:pt>
                <c:pt idx="6">
                  <c:v>0.41325414191934978</c:v>
                </c:pt>
                <c:pt idx="7">
                  <c:v>0.39774141715889288</c:v>
                </c:pt>
                <c:pt idx="8">
                  <c:v>0.46333349521635664</c:v>
                </c:pt>
                <c:pt idx="9">
                  <c:v>0.346123417721519</c:v>
                </c:pt>
              </c:numCache>
            </c:numRef>
          </c:val>
          <c:extLst>
            <c:ext xmlns:c16="http://schemas.microsoft.com/office/drawing/2014/chart" uri="{C3380CC4-5D6E-409C-BE32-E72D297353CC}">
              <c16:uniqueId val="{00000001-3FD5-4CF1-A825-EC3EFD39D72C}"/>
            </c:ext>
          </c:extLst>
        </c:ser>
        <c:dLbls>
          <c:showLegendKey val="0"/>
          <c:showVal val="0"/>
          <c:showCatName val="0"/>
          <c:showSerName val="0"/>
          <c:showPercent val="0"/>
          <c:showBubbleSize val="0"/>
        </c:dLbls>
        <c:gapWidth val="219"/>
        <c:overlap val="-27"/>
        <c:axId val="806189712"/>
        <c:axId val="806190792"/>
      </c:barChart>
      <c:catAx>
        <c:axId val="806189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6190792"/>
        <c:crosses val="autoZero"/>
        <c:auto val="1"/>
        <c:lblAlgn val="ctr"/>
        <c:lblOffset val="100"/>
        <c:noMultiLvlLbl val="0"/>
      </c:catAx>
      <c:valAx>
        <c:axId val="806190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61897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Babu Palakurti</dc:creator>
  <cp:keywords/>
  <dc:description/>
  <cp:lastModifiedBy>Manish Babu Palakurti</cp:lastModifiedBy>
  <cp:revision>2</cp:revision>
  <dcterms:created xsi:type="dcterms:W3CDTF">2025-01-20T01:40:00Z</dcterms:created>
  <dcterms:modified xsi:type="dcterms:W3CDTF">2025-01-20T02:25:00Z</dcterms:modified>
</cp:coreProperties>
</file>