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2B54" w:rsidRDefault="00362B54" w:rsidP="00362B54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362B54">
        <w:rPr>
          <w:rFonts w:ascii="Times New Roman" w:hAnsi="Times New Roman" w:cs="Times New Roman"/>
          <w:b/>
          <w:sz w:val="56"/>
          <w:szCs w:val="56"/>
        </w:rPr>
        <w:t>BLOCKCHAIN</w:t>
      </w:r>
    </w:p>
    <w:p w:rsidR="00AB1130" w:rsidRDefault="00AB1130" w:rsidP="00AB1130">
      <w:pPr>
        <w:pStyle w:val="Heading2"/>
      </w:pPr>
      <w:r>
        <w:t>Key Technologies</w:t>
      </w:r>
    </w:p>
    <w:p w:rsidR="00AB1130" w:rsidRDefault="00AB1130" w:rsidP="00AB1130">
      <w:pPr>
        <w:pStyle w:val="NormalWeb"/>
      </w:pPr>
      <w:r>
        <w:t>Blockchain's core strength lies in its distributed ledger technology (DLT), which ensures immutability, transparency, and decentralization. In 2025, several emerging technologies are accelerating adoption:</w:t>
      </w:r>
    </w:p>
    <w:p w:rsidR="00AB1130" w:rsidRPr="00AB1130" w:rsidRDefault="00AB1130" w:rsidP="00AB1130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Modular Blockchain Architectures</w:t>
      </w:r>
      <w:r w:rsidRPr="00AB1130">
        <w:rPr>
          <w:sz w:val="24"/>
          <w:szCs w:val="24"/>
        </w:rPr>
        <w:t>: These allow customizable, scalable networks by separating execution, settlement, and data availability layers, improving efficiency for enterprise use. This trend is enabling faster transaction processing without compromising security.</w:t>
      </w:r>
    </w:p>
    <w:p w:rsidR="00AB1130" w:rsidRPr="00AB1130" w:rsidRDefault="00AB1130" w:rsidP="00AB1130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Zero-Knowledge Proofs (ZKPs) at Scale</w:t>
      </w:r>
      <w:r w:rsidRPr="00AB1130">
        <w:rPr>
          <w:sz w:val="24"/>
          <w:szCs w:val="24"/>
        </w:rPr>
        <w:t>: ZKPs enable privacy-preserving verifications, where one party proves knowledge without revealing details. Scalable implementations are now powering DeFi and identity solutions, reducing computational overhead.</w:t>
      </w:r>
    </w:p>
    <w:p w:rsidR="00AB1130" w:rsidRPr="00AB1130" w:rsidRDefault="00AB1130" w:rsidP="00AB1130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Real-World Assets (RWAs) Tokenization</w:t>
      </w:r>
      <w:r w:rsidRPr="00AB1130">
        <w:rPr>
          <w:sz w:val="24"/>
          <w:szCs w:val="24"/>
        </w:rPr>
        <w:t>: Converting physical assets like real estate or commodities into digital tokens on blockchain, unlocking liquidity. The RWA market is booming, with projections for trillions in tokenized value by 2030.</w:t>
      </w:r>
    </w:p>
    <w:p w:rsidR="00AB1130" w:rsidRPr="00AB1130" w:rsidRDefault="00AB1130" w:rsidP="00AB1130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AI-Blockchain Integration</w:t>
      </w:r>
      <w:r w:rsidRPr="00AB1130">
        <w:rPr>
          <w:sz w:val="24"/>
          <w:szCs w:val="24"/>
        </w:rPr>
        <w:t>: Combining AI for predictive analytics with blockchain's data integrity, creating hybrid systems for fraud detection and automated governance. This fusion is expected to drive $703 million in market value in 2025 alone.</w:t>
      </w:r>
    </w:p>
    <w:p w:rsidR="00AB1130" w:rsidRPr="00AB1130" w:rsidRDefault="00AB1130" w:rsidP="00AB1130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Sustainable and Green Blockchain</w:t>
      </w:r>
      <w:r w:rsidRPr="00AB1130">
        <w:rPr>
          <w:sz w:val="24"/>
          <w:szCs w:val="24"/>
        </w:rPr>
        <w:t>: Shift from energy-intensive Proof-of-Work (PoW) to Proof-of-Stake (PoS) and carbon-neutral protocols, addressing environmental concerns. Ethereum's full PoS transition exemplifies this.</w:t>
      </w:r>
    </w:p>
    <w:p w:rsidR="00AB1130" w:rsidRPr="00AB1130" w:rsidRDefault="00AB1130" w:rsidP="00AB1130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Stablecoins and Layer-2 Scaling</w:t>
      </w:r>
      <w:r w:rsidRPr="00AB1130">
        <w:rPr>
          <w:sz w:val="24"/>
          <w:szCs w:val="24"/>
        </w:rPr>
        <w:t>: Stablecoins provide price stability for everyday transactions, while Layer-2 solutions like rollups enhance throughput, making blockchain viable for high-volume applications.</w:t>
      </w:r>
    </w:p>
    <w:p w:rsidR="00AB1130" w:rsidRDefault="00AB1130" w:rsidP="00AB1130">
      <w:pPr>
        <w:pStyle w:val="NormalWeb"/>
      </w:pPr>
      <w:r>
        <w:t>These technologies are not isolated; they interconnect to form resilient ecosystems, with trends like cross-chain interoperability enabling seamless data flow across networks.</w:t>
      </w:r>
    </w:p>
    <w:p w:rsidR="00AB1130" w:rsidRDefault="00AB1130" w:rsidP="00AB1130">
      <w:pPr>
        <w:pStyle w:val="Heading2"/>
      </w:pPr>
      <w:r>
        <w:t>Major Tools, Platforms, and Technical Concepts</w:t>
      </w:r>
    </w:p>
    <w:p w:rsidR="00AB1130" w:rsidRDefault="00AB1130" w:rsidP="00AB1130">
      <w:pPr>
        <w:pStyle w:val="NormalWeb"/>
      </w:pPr>
      <w:r>
        <w:t>Blockchain's ecosystem is rich with platforms for building decentralized applications (dApps), tools for development, and foundational concepts that underpin operations. Here's an overview:</w:t>
      </w:r>
    </w:p>
    <w:p w:rsidR="00AB1130" w:rsidRDefault="00AB1130" w:rsidP="00AB1130">
      <w:pPr>
        <w:pStyle w:val="Heading3"/>
      </w:pPr>
    </w:p>
    <w:tbl>
      <w:tblPr>
        <w:tblW w:w="0" w:type="auto"/>
        <w:tblCellSpacing w:w="15" w:type="dxa"/>
        <w:tblInd w:w="-2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4022"/>
        <w:gridCol w:w="1844"/>
        <w:gridCol w:w="2854"/>
      </w:tblGrid>
      <w:tr w:rsidR="00AB1130" w:rsidRPr="00AB1130" w:rsidTr="00AB1130">
        <w:trPr>
          <w:tblHeader/>
          <w:tblCellSpacing w:w="15" w:type="dxa"/>
        </w:trPr>
        <w:tc>
          <w:tcPr>
            <w:tcW w:w="1630" w:type="dxa"/>
            <w:vAlign w:val="center"/>
            <w:hideMark/>
          </w:tcPr>
          <w:p w:rsidR="00AB1130" w:rsidRPr="00AB1130" w:rsidRDefault="00AB1130">
            <w:pPr>
              <w:jc w:val="center"/>
              <w:rPr>
                <w:b/>
                <w:bCs/>
                <w:sz w:val="24"/>
                <w:szCs w:val="24"/>
              </w:rPr>
            </w:pPr>
            <w:r w:rsidRPr="00AB1130">
              <w:rPr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AB1130" w:rsidRPr="00AB1130" w:rsidRDefault="00AB1130">
            <w:pPr>
              <w:jc w:val="center"/>
              <w:rPr>
                <w:b/>
                <w:bCs/>
                <w:sz w:val="24"/>
                <w:szCs w:val="24"/>
              </w:rPr>
            </w:pPr>
            <w:r w:rsidRPr="00AB1130">
              <w:rPr>
                <w:b/>
                <w:bCs/>
                <w:sz w:val="24"/>
                <w:szCs w:val="24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:rsidR="00AB1130" w:rsidRPr="00AB1130" w:rsidRDefault="00AB1130">
            <w:pPr>
              <w:jc w:val="center"/>
              <w:rPr>
                <w:b/>
                <w:bCs/>
                <w:sz w:val="24"/>
                <w:szCs w:val="24"/>
              </w:rPr>
            </w:pPr>
            <w:r w:rsidRPr="00AB1130">
              <w:rPr>
                <w:b/>
                <w:bCs/>
                <w:sz w:val="24"/>
                <w:szCs w:val="2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:rsidR="00AB1130" w:rsidRPr="00AB1130" w:rsidRDefault="00AB1130">
            <w:pPr>
              <w:jc w:val="center"/>
              <w:rPr>
                <w:b/>
                <w:bCs/>
                <w:sz w:val="24"/>
                <w:szCs w:val="24"/>
              </w:rPr>
            </w:pPr>
            <w:r w:rsidRPr="00AB1130">
              <w:rPr>
                <w:b/>
                <w:bCs/>
                <w:sz w:val="24"/>
                <w:szCs w:val="24"/>
              </w:rPr>
              <w:t>Notable in 2025</w:t>
            </w:r>
          </w:p>
        </w:tc>
      </w:tr>
      <w:tr w:rsidR="00AB1130" w:rsidRPr="00AB1130" w:rsidTr="00AB1130">
        <w:trPr>
          <w:tblCellSpacing w:w="15" w:type="dxa"/>
        </w:trPr>
        <w:tc>
          <w:tcPr>
            <w:tcW w:w="1630" w:type="dxa"/>
            <w:vAlign w:val="center"/>
            <w:hideMark/>
          </w:tcPr>
          <w:p w:rsidR="00AB1130" w:rsidRPr="00AB1130" w:rsidRDefault="00AB1130">
            <w:pPr>
              <w:rPr>
                <w:sz w:val="24"/>
                <w:szCs w:val="24"/>
              </w:rPr>
            </w:pPr>
            <w:r w:rsidRPr="00AB1130">
              <w:rPr>
                <w:rStyle w:val="Strong"/>
                <w:sz w:val="24"/>
                <w:szCs w:val="24"/>
              </w:rPr>
              <w:t>Ethereum</w:t>
            </w:r>
          </w:p>
        </w:tc>
        <w:tc>
          <w:tcPr>
            <w:tcW w:w="0" w:type="auto"/>
            <w:vAlign w:val="center"/>
            <w:hideMark/>
          </w:tcPr>
          <w:p w:rsidR="00AB1130" w:rsidRPr="00AB1130" w:rsidRDefault="00AB1130">
            <w:pPr>
              <w:rPr>
                <w:sz w:val="24"/>
                <w:szCs w:val="24"/>
              </w:rPr>
            </w:pPr>
            <w:r w:rsidRPr="00AB1130">
              <w:rPr>
                <w:sz w:val="24"/>
                <w:szCs w:val="24"/>
              </w:rPr>
              <w:t>Smart contract pioneer; supports ERC-20/721 standards; PoS consensus.</w:t>
            </w:r>
          </w:p>
        </w:tc>
        <w:tc>
          <w:tcPr>
            <w:tcW w:w="0" w:type="auto"/>
            <w:vAlign w:val="center"/>
            <w:hideMark/>
          </w:tcPr>
          <w:p w:rsidR="00AB1130" w:rsidRPr="00AB1130" w:rsidRDefault="00AB1130">
            <w:pPr>
              <w:rPr>
                <w:sz w:val="24"/>
                <w:szCs w:val="24"/>
              </w:rPr>
            </w:pPr>
            <w:r w:rsidRPr="00AB1130">
              <w:rPr>
                <w:sz w:val="24"/>
                <w:szCs w:val="24"/>
              </w:rPr>
              <w:t>DeFi, NFTs, dApps.</w:t>
            </w:r>
          </w:p>
        </w:tc>
        <w:tc>
          <w:tcPr>
            <w:tcW w:w="0" w:type="auto"/>
            <w:vAlign w:val="center"/>
            <w:hideMark/>
          </w:tcPr>
          <w:p w:rsidR="00AB1130" w:rsidRPr="00AB1130" w:rsidRDefault="00AB1130">
            <w:pPr>
              <w:rPr>
                <w:sz w:val="24"/>
                <w:szCs w:val="24"/>
              </w:rPr>
            </w:pPr>
            <w:r w:rsidRPr="00AB1130">
              <w:rPr>
                <w:sz w:val="24"/>
                <w:szCs w:val="24"/>
              </w:rPr>
              <w:t>Dominant for RWAs and AI integrations.</w:t>
            </w:r>
          </w:p>
        </w:tc>
      </w:tr>
      <w:tr w:rsidR="00AB1130" w:rsidTr="00AB1130">
        <w:trPr>
          <w:tblCellSpacing w:w="15" w:type="dxa"/>
        </w:trPr>
        <w:tc>
          <w:tcPr>
            <w:tcW w:w="1630" w:type="dxa"/>
            <w:vAlign w:val="center"/>
            <w:hideMark/>
          </w:tcPr>
          <w:p w:rsidR="00AB1130" w:rsidRDefault="00AB113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Hyperledger </w:t>
            </w:r>
            <w:r>
              <w:rPr>
                <w:rStyle w:val="Strong"/>
              </w:rPr>
              <w:lastRenderedPageBreak/>
              <w:t>Fabric</w:t>
            </w:r>
          </w:p>
        </w:tc>
        <w:tc>
          <w:tcPr>
            <w:tcW w:w="0" w:type="auto"/>
            <w:vAlign w:val="center"/>
            <w:hideMark/>
          </w:tcPr>
          <w:p w:rsidR="00AB1130" w:rsidRPr="00AB1130" w:rsidRDefault="00AB1130">
            <w:pPr>
              <w:rPr>
                <w:sz w:val="24"/>
                <w:szCs w:val="24"/>
              </w:rPr>
            </w:pPr>
            <w:r w:rsidRPr="00AB1130">
              <w:rPr>
                <w:sz w:val="24"/>
                <w:szCs w:val="24"/>
              </w:rPr>
              <w:lastRenderedPageBreak/>
              <w:t xml:space="preserve">Permissioned enterprise blockchain; </w:t>
            </w:r>
            <w:r w:rsidRPr="00AB1130">
              <w:rPr>
                <w:sz w:val="24"/>
                <w:szCs w:val="24"/>
              </w:rPr>
              <w:lastRenderedPageBreak/>
              <w:t>modular architecture; privacy-focused.</w:t>
            </w:r>
          </w:p>
        </w:tc>
        <w:tc>
          <w:tcPr>
            <w:tcW w:w="0" w:type="auto"/>
            <w:vAlign w:val="center"/>
            <w:hideMark/>
          </w:tcPr>
          <w:p w:rsidR="00AB1130" w:rsidRPr="00AB1130" w:rsidRDefault="00AB1130">
            <w:pPr>
              <w:rPr>
                <w:sz w:val="24"/>
                <w:szCs w:val="24"/>
              </w:rPr>
            </w:pPr>
            <w:r w:rsidRPr="00AB1130">
              <w:rPr>
                <w:sz w:val="24"/>
                <w:szCs w:val="24"/>
              </w:rPr>
              <w:lastRenderedPageBreak/>
              <w:t xml:space="preserve">Supply chain, </w:t>
            </w:r>
            <w:r w:rsidRPr="00AB1130">
              <w:rPr>
                <w:sz w:val="24"/>
                <w:szCs w:val="24"/>
              </w:rPr>
              <w:lastRenderedPageBreak/>
              <w:t>finance.</w:t>
            </w:r>
          </w:p>
        </w:tc>
        <w:tc>
          <w:tcPr>
            <w:tcW w:w="0" w:type="auto"/>
            <w:vAlign w:val="center"/>
            <w:hideMark/>
          </w:tcPr>
          <w:p w:rsidR="00AB1130" w:rsidRPr="00AB1130" w:rsidRDefault="00AB1130">
            <w:pPr>
              <w:rPr>
                <w:sz w:val="24"/>
                <w:szCs w:val="24"/>
              </w:rPr>
            </w:pPr>
            <w:r w:rsidRPr="00AB1130">
              <w:rPr>
                <w:sz w:val="24"/>
                <w:szCs w:val="24"/>
              </w:rPr>
              <w:lastRenderedPageBreak/>
              <w:t xml:space="preserve">Used in government </w:t>
            </w:r>
            <w:r w:rsidRPr="00AB1130">
              <w:rPr>
                <w:sz w:val="24"/>
                <w:szCs w:val="24"/>
              </w:rPr>
              <w:lastRenderedPageBreak/>
              <w:t>frameworks like India's NBF.</w:t>
            </w:r>
          </w:p>
        </w:tc>
      </w:tr>
      <w:tr w:rsidR="00AB1130" w:rsidTr="00AB1130">
        <w:trPr>
          <w:tblCellSpacing w:w="15" w:type="dxa"/>
        </w:trPr>
        <w:tc>
          <w:tcPr>
            <w:tcW w:w="1630" w:type="dxa"/>
            <w:vAlign w:val="center"/>
            <w:hideMark/>
          </w:tcPr>
          <w:p w:rsidR="00AB1130" w:rsidRDefault="00AB113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IBM Blockchain</w:t>
            </w:r>
          </w:p>
        </w:tc>
        <w:tc>
          <w:tcPr>
            <w:tcW w:w="0" w:type="auto"/>
            <w:vAlign w:val="center"/>
            <w:hideMark/>
          </w:tcPr>
          <w:p w:rsidR="00AB1130" w:rsidRPr="00AB1130" w:rsidRDefault="00AB1130">
            <w:pPr>
              <w:rPr>
                <w:sz w:val="24"/>
                <w:szCs w:val="24"/>
              </w:rPr>
            </w:pPr>
            <w:r w:rsidRPr="00AB1130">
              <w:rPr>
                <w:sz w:val="24"/>
                <w:szCs w:val="24"/>
              </w:rPr>
              <w:t>Cloud-based; integrates with Hyperledger; strong B2B focus.</w:t>
            </w:r>
          </w:p>
        </w:tc>
        <w:tc>
          <w:tcPr>
            <w:tcW w:w="0" w:type="auto"/>
            <w:vAlign w:val="center"/>
            <w:hideMark/>
          </w:tcPr>
          <w:p w:rsidR="00AB1130" w:rsidRPr="00AB1130" w:rsidRDefault="00AB1130">
            <w:pPr>
              <w:rPr>
                <w:sz w:val="24"/>
                <w:szCs w:val="24"/>
              </w:rPr>
            </w:pPr>
            <w:r w:rsidRPr="00AB1130">
              <w:rPr>
                <w:sz w:val="24"/>
                <w:szCs w:val="24"/>
              </w:rPr>
              <w:t>Trade finance, traceability.</w:t>
            </w:r>
          </w:p>
        </w:tc>
        <w:tc>
          <w:tcPr>
            <w:tcW w:w="0" w:type="auto"/>
            <w:vAlign w:val="center"/>
            <w:hideMark/>
          </w:tcPr>
          <w:p w:rsidR="00AB1130" w:rsidRPr="00AB1130" w:rsidRDefault="00AB1130">
            <w:pPr>
              <w:rPr>
                <w:sz w:val="24"/>
                <w:szCs w:val="24"/>
              </w:rPr>
            </w:pPr>
            <w:r w:rsidRPr="00AB1130">
              <w:rPr>
                <w:sz w:val="24"/>
                <w:szCs w:val="24"/>
              </w:rPr>
              <w:t>Powers global supply chain pilots.</w:t>
            </w:r>
          </w:p>
        </w:tc>
      </w:tr>
      <w:tr w:rsidR="00AB1130" w:rsidTr="00AB1130">
        <w:trPr>
          <w:tblCellSpacing w:w="15" w:type="dxa"/>
        </w:trPr>
        <w:tc>
          <w:tcPr>
            <w:tcW w:w="1630" w:type="dxa"/>
            <w:vAlign w:val="center"/>
            <w:hideMark/>
          </w:tcPr>
          <w:p w:rsidR="00AB1130" w:rsidRDefault="00AB113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Corda</w:t>
            </w:r>
          </w:p>
        </w:tc>
        <w:tc>
          <w:tcPr>
            <w:tcW w:w="0" w:type="auto"/>
            <w:vAlign w:val="center"/>
            <w:hideMark/>
          </w:tcPr>
          <w:p w:rsidR="00AB1130" w:rsidRPr="00AB1130" w:rsidRDefault="00AB1130">
            <w:pPr>
              <w:rPr>
                <w:sz w:val="24"/>
                <w:szCs w:val="24"/>
              </w:rPr>
            </w:pPr>
            <w:r w:rsidRPr="00AB1130">
              <w:rPr>
                <w:sz w:val="24"/>
                <w:szCs w:val="24"/>
              </w:rPr>
              <w:t>Privacy-by-design for finance; interoperable with legacy systems.</w:t>
            </w:r>
          </w:p>
        </w:tc>
        <w:tc>
          <w:tcPr>
            <w:tcW w:w="0" w:type="auto"/>
            <w:vAlign w:val="center"/>
            <w:hideMark/>
          </w:tcPr>
          <w:p w:rsidR="00AB1130" w:rsidRPr="00AB1130" w:rsidRDefault="00AB1130">
            <w:pPr>
              <w:rPr>
                <w:sz w:val="24"/>
                <w:szCs w:val="24"/>
              </w:rPr>
            </w:pPr>
            <w:r w:rsidRPr="00AB1130">
              <w:rPr>
                <w:sz w:val="24"/>
                <w:szCs w:val="24"/>
              </w:rPr>
              <w:t>Banking, insurance.</w:t>
            </w:r>
          </w:p>
        </w:tc>
        <w:tc>
          <w:tcPr>
            <w:tcW w:w="0" w:type="auto"/>
            <w:vAlign w:val="center"/>
            <w:hideMark/>
          </w:tcPr>
          <w:p w:rsidR="00AB1130" w:rsidRPr="00AB1130" w:rsidRDefault="00AB1130">
            <w:pPr>
              <w:rPr>
                <w:sz w:val="24"/>
                <w:szCs w:val="24"/>
              </w:rPr>
            </w:pPr>
            <w:r w:rsidRPr="00AB1130">
              <w:rPr>
                <w:sz w:val="24"/>
                <w:szCs w:val="24"/>
              </w:rPr>
              <w:t>Key for cross-border settlements.</w:t>
            </w:r>
          </w:p>
        </w:tc>
      </w:tr>
    </w:tbl>
    <w:p w:rsidR="00AB1130" w:rsidRPr="00AB1130" w:rsidRDefault="00AB1130" w:rsidP="00AB1130">
      <w:pPr>
        <w:pStyle w:val="NormalWeb"/>
      </w:pPr>
      <w:r w:rsidRPr="00AB1130">
        <w:t>Other notable platforms include Polygon (Ethereum scaling), Polkadot (interoperability hub), and Ontology (identity management).</w:t>
      </w:r>
    </w:p>
    <w:p w:rsidR="00AB1130" w:rsidRPr="00AB1130" w:rsidRDefault="00AB1130" w:rsidP="00AB1130">
      <w:pPr>
        <w:pStyle w:val="Heading3"/>
        <w:rPr>
          <w:sz w:val="32"/>
          <w:szCs w:val="32"/>
        </w:rPr>
      </w:pPr>
      <w:r w:rsidRPr="00AB1130">
        <w:rPr>
          <w:sz w:val="32"/>
          <w:szCs w:val="32"/>
        </w:rPr>
        <w:t>Major Tools</w:t>
      </w:r>
    </w:p>
    <w:p w:rsidR="00AB1130" w:rsidRPr="00AB1130" w:rsidRDefault="00AB1130" w:rsidP="00AB113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Development IDEs/SDKs</w:t>
      </w:r>
      <w:r w:rsidRPr="00AB1130">
        <w:rPr>
          <w:sz w:val="24"/>
          <w:szCs w:val="24"/>
        </w:rPr>
        <w:t>: Remix and Hardhat for Ethereum smart contracts; Anchor for Solana; Hyperledger Composer for enterprise.</w:t>
      </w:r>
    </w:p>
    <w:p w:rsidR="00AB1130" w:rsidRPr="00AB1130" w:rsidRDefault="00AB1130" w:rsidP="00AB113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Testing &amp; Auditing</w:t>
      </w:r>
      <w:r w:rsidRPr="00AB1130">
        <w:rPr>
          <w:sz w:val="24"/>
          <w:szCs w:val="24"/>
        </w:rPr>
        <w:t>: Truffle/Ganache for local testing; MythX for security audits.</w:t>
      </w:r>
    </w:p>
    <w:p w:rsidR="00AB1130" w:rsidRPr="00AB1130" w:rsidRDefault="00AB1130" w:rsidP="00AB113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APIs &amp; Infrastructure</w:t>
      </w:r>
      <w:r w:rsidRPr="00AB1130">
        <w:rPr>
          <w:sz w:val="24"/>
          <w:szCs w:val="24"/>
        </w:rPr>
        <w:t>: Alchemy/Infura for node access; QuickNode for AI-powered blockchain tools like predictive scaling.</w:t>
      </w:r>
    </w:p>
    <w:p w:rsidR="00AB1130" w:rsidRPr="00AB1130" w:rsidRDefault="00AB1130" w:rsidP="00AB113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AI-Enhanced Tools</w:t>
      </w:r>
      <w:r w:rsidRPr="00AB1130">
        <w:rPr>
          <w:sz w:val="24"/>
          <w:szCs w:val="24"/>
        </w:rPr>
        <w:t>: Platforms like SingularityNET integrate AI for smart contract optimization.</w:t>
      </w:r>
    </w:p>
    <w:p w:rsidR="00AB1130" w:rsidRPr="00AB1130" w:rsidRDefault="00AB1130" w:rsidP="00AB1130">
      <w:pPr>
        <w:pStyle w:val="Heading3"/>
        <w:rPr>
          <w:sz w:val="32"/>
          <w:szCs w:val="32"/>
        </w:rPr>
      </w:pPr>
      <w:r w:rsidRPr="00AB1130">
        <w:rPr>
          <w:sz w:val="32"/>
          <w:szCs w:val="32"/>
        </w:rPr>
        <w:t>Technical Concepts</w:t>
      </w:r>
    </w:p>
    <w:p w:rsidR="00AB1130" w:rsidRPr="00AB1130" w:rsidRDefault="00AB1130" w:rsidP="00AB1130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Smart Contracts</w:t>
      </w:r>
      <w:r w:rsidRPr="00AB1130">
        <w:rPr>
          <w:sz w:val="24"/>
          <w:szCs w:val="24"/>
        </w:rPr>
        <w:t>: Self-executing code on blockchain (e.g., Solidity/Rust languages) automating agreements without intermediaries.</w:t>
      </w:r>
    </w:p>
    <w:p w:rsidR="00AB1130" w:rsidRPr="00AB1130" w:rsidRDefault="00AB1130" w:rsidP="00AB1130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Consensus Mechanisms</w:t>
      </w:r>
      <w:r w:rsidRPr="00AB1130">
        <w:rPr>
          <w:sz w:val="24"/>
          <w:szCs w:val="24"/>
        </w:rPr>
        <w:t>: PoW (energy-heavy, secure), PoS (efficient, stake-based), and hybrids like Proof-of-Authority for enterprises.</w:t>
      </w:r>
    </w:p>
    <w:p w:rsidR="00AB1130" w:rsidRPr="00AB1130" w:rsidRDefault="00AB1130" w:rsidP="00AB1130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Decentralized Finance (DeFi)</w:t>
      </w:r>
      <w:r w:rsidRPr="00AB1130">
        <w:rPr>
          <w:sz w:val="24"/>
          <w:szCs w:val="24"/>
        </w:rPr>
        <w:t>: Protocols for lending, borrowing, and trading without banks.</w:t>
      </w:r>
    </w:p>
    <w:p w:rsidR="00AB1130" w:rsidRPr="00AB1130" w:rsidRDefault="00AB1130" w:rsidP="00AB1130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Non-Fungible Tokens (NFTs)</w:t>
      </w:r>
      <w:r w:rsidRPr="00AB1130">
        <w:rPr>
          <w:sz w:val="24"/>
          <w:szCs w:val="24"/>
        </w:rPr>
        <w:t>: Unique digital assets for art, IP, and provenance tracking.</w:t>
      </w:r>
    </w:p>
    <w:p w:rsidR="00AB1130" w:rsidRPr="00AB1130" w:rsidRDefault="00AB1130" w:rsidP="00AB1130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Interoperability Protocols</w:t>
      </w:r>
      <w:r w:rsidRPr="00AB1130">
        <w:rPr>
          <w:sz w:val="24"/>
          <w:szCs w:val="24"/>
        </w:rPr>
        <w:t>: Bridges like Wormhole enable cross-chain transfers, crucial for 2025's multi-chain world.</w:t>
      </w:r>
    </w:p>
    <w:p w:rsidR="00AB1130" w:rsidRPr="00AB1130" w:rsidRDefault="00AB1130" w:rsidP="00AB1130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Oracles</w:t>
      </w:r>
      <w:r w:rsidRPr="00AB1130">
        <w:rPr>
          <w:sz w:val="24"/>
          <w:szCs w:val="24"/>
        </w:rPr>
        <w:t>: Tools (e.g., Chainlink) feeding off-chain data to on-chain contracts for real-world integration.</w:t>
      </w:r>
    </w:p>
    <w:p w:rsidR="00AB1130" w:rsidRDefault="00AB1130" w:rsidP="00AB1130">
      <w:pPr>
        <w:pStyle w:val="NormalWeb"/>
      </w:pPr>
      <w:r>
        <w:t>These elements form the backbone of blockchain development, with a focus on scalability and security in 2025.</w:t>
      </w:r>
    </w:p>
    <w:p w:rsidR="00AB1130" w:rsidRDefault="00AB1130" w:rsidP="00AB1130">
      <w:pPr>
        <w:pStyle w:val="Heading2"/>
      </w:pPr>
      <w:r>
        <w:t>Real-World Use Cases</w:t>
      </w:r>
    </w:p>
    <w:p w:rsidR="00AB1130" w:rsidRDefault="00AB1130" w:rsidP="00AB1130">
      <w:pPr>
        <w:pStyle w:val="NormalWeb"/>
      </w:pPr>
      <w:r>
        <w:t>Blockchain's versatility shines in practical applications, transforming industries by enhancing trust and efficiency. Below are one Indian and one global example.</w:t>
      </w:r>
    </w:p>
    <w:p w:rsidR="00AB1130" w:rsidRPr="00AB1130" w:rsidRDefault="00AB1130" w:rsidP="00AB1130">
      <w:pPr>
        <w:pStyle w:val="Heading3"/>
        <w:rPr>
          <w:sz w:val="32"/>
          <w:szCs w:val="32"/>
        </w:rPr>
      </w:pPr>
      <w:r w:rsidRPr="00AB1130">
        <w:rPr>
          <w:sz w:val="32"/>
          <w:szCs w:val="32"/>
        </w:rPr>
        <w:lastRenderedPageBreak/>
        <w:t>Indian Example: National Blockchain Framework (NBF) - Property Chain</w:t>
      </w:r>
    </w:p>
    <w:p w:rsidR="00AB1130" w:rsidRPr="00AB1130" w:rsidRDefault="00AB1130" w:rsidP="00AB1130">
      <w:pPr>
        <w:pStyle w:val="NormalWeb"/>
      </w:pPr>
      <w:r w:rsidRPr="00AB1130">
        <w:t xml:space="preserve">India's government-led NBF, launched in September 2024 under the Ministry of Electronics and Information Technology (MeitY), exemplifies blockchain's role in governance and fraud prevention. The </w:t>
      </w:r>
      <w:r w:rsidRPr="00AB1130">
        <w:rPr>
          <w:rStyle w:val="Strong"/>
          <w:rFonts w:eastAsiaTheme="majorEastAsia"/>
        </w:rPr>
        <w:t>Property Chain</w:t>
      </w:r>
      <w:r w:rsidRPr="00AB1130">
        <w:t xml:space="preserve"> module records property transactions immutably, providing stakeholders full historical access to verify ownership, reduce disputes, and streamline registrations.</w:t>
      </w:r>
    </w:p>
    <w:p w:rsidR="00AB1130" w:rsidRPr="00AB1130" w:rsidRDefault="00AB1130" w:rsidP="00AB1130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Implementation</w:t>
      </w:r>
      <w:r w:rsidRPr="00AB1130">
        <w:rPr>
          <w:sz w:val="24"/>
          <w:szCs w:val="24"/>
        </w:rPr>
        <w:t>: Built on the indigenous Vishvasya Blockchain Stack (a modular BaaS platform across NIC data centers), it integrates with e-Governance systems. As of October 21, 2025, over 34 crore property documents have been verified, preventing tampering and litigation.</w:t>
      </w:r>
    </w:p>
    <w:p w:rsidR="00AB1130" w:rsidRPr="00AB1130" w:rsidRDefault="00AB1130" w:rsidP="00AB1130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Impact</w:t>
      </w:r>
      <w:r w:rsidRPr="00AB1130">
        <w:rPr>
          <w:sz w:val="24"/>
          <w:szCs w:val="24"/>
        </w:rPr>
        <w:t>: In states like Karnataka and Telangana, it has cut property fraud by 40% and processing times from weeks to hours. Future expansions include land records and GST monitoring, aligning with Aatmanirbhar Bharat's tech self-reliance.</w:t>
      </w:r>
    </w:p>
    <w:p w:rsidR="00AB1130" w:rsidRPr="00AB1130" w:rsidRDefault="00AB1130" w:rsidP="00AB1130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1130">
        <w:rPr>
          <w:rStyle w:val="Strong"/>
          <w:sz w:val="24"/>
          <w:szCs w:val="24"/>
        </w:rPr>
        <w:t>Broader NBF Achievements</w:t>
      </w:r>
      <w:r w:rsidRPr="00AB1130">
        <w:rPr>
          <w:sz w:val="24"/>
          <w:szCs w:val="24"/>
        </w:rPr>
        <w:t>: Includes Document Chain (48,000+ verifications for certificates) and Logistics Chain (e.g., medicine tracking to curb spurious drugs).</w:t>
      </w:r>
    </w:p>
    <w:p w:rsidR="00AB1130" w:rsidRPr="00AB1130" w:rsidRDefault="00AB1130" w:rsidP="00AB1130">
      <w:pPr>
        <w:pStyle w:val="NormalWeb"/>
      </w:pPr>
      <w:r w:rsidRPr="00AB1130">
        <w:t>This initiative positions India as a global leader in public-sector blockchain, with over 21,000 officials trained via capacity-building programs.</w:t>
      </w:r>
    </w:p>
    <w:p w:rsidR="00AB1130" w:rsidRPr="00AB1130" w:rsidRDefault="00AB1130" w:rsidP="00AB1130">
      <w:pPr>
        <w:pStyle w:val="Heading3"/>
        <w:rPr>
          <w:sz w:val="32"/>
          <w:szCs w:val="32"/>
        </w:rPr>
      </w:pPr>
      <w:r w:rsidRPr="00AB1130">
        <w:rPr>
          <w:sz w:val="32"/>
          <w:szCs w:val="32"/>
        </w:rPr>
        <w:t>Global Example: Stablecoins for Cross-Border Payments</w:t>
      </w:r>
    </w:p>
    <w:p w:rsidR="00AB1130" w:rsidRPr="000B5F0A" w:rsidRDefault="00AB1130" w:rsidP="00AB1130">
      <w:pPr>
        <w:pStyle w:val="NormalWeb"/>
      </w:pPr>
      <w:r w:rsidRPr="000B5F0A">
        <w:t>Stablecoins have mainstreamed blockchain in global finance, processing $46 trillion in annual transactions in 2025—rivaling Visa and PayPal. Tether (USDT) and USDC dominate with a $300 billion+ supply, enabling instant, low-cost remittances and trade settlements.</w:t>
      </w:r>
    </w:p>
    <w:p w:rsidR="00AB1130" w:rsidRPr="000B5F0A" w:rsidRDefault="00AB1130" w:rsidP="00AB1130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B5F0A">
        <w:rPr>
          <w:rStyle w:val="Strong"/>
          <w:sz w:val="24"/>
          <w:szCs w:val="24"/>
        </w:rPr>
        <w:t>Implementation</w:t>
      </w:r>
      <w:r w:rsidRPr="000B5F0A">
        <w:rPr>
          <w:sz w:val="24"/>
          <w:szCs w:val="24"/>
        </w:rPr>
        <w:t>: Platforms like BVNK and Ripple use stablecoins on blockchains (e.g., Ethereum, Solana) for 24/7 transfers, backed by reserves like U.S. Treasuries ($150 billion held). They integrate with traditional banking via APIs.</w:t>
      </w:r>
    </w:p>
    <w:p w:rsidR="00AB1130" w:rsidRPr="000B5F0A" w:rsidRDefault="00AB1130" w:rsidP="00AB1130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B5F0A">
        <w:rPr>
          <w:rStyle w:val="Strong"/>
          <w:sz w:val="24"/>
          <w:szCs w:val="24"/>
        </w:rPr>
        <w:t>Impact</w:t>
      </w:r>
      <w:r w:rsidRPr="000B5F0A">
        <w:rPr>
          <w:sz w:val="24"/>
          <w:szCs w:val="24"/>
        </w:rPr>
        <w:t>: In 2025, stablecoins capture 20% of cross-border flows, reducing costs by 80% and settlement times from days to seconds. A key case is remittances in emerging markets, where migrants save millions in fees annually.</w:t>
      </w:r>
    </w:p>
    <w:p w:rsidR="00AB1130" w:rsidRPr="000B5F0A" w:rsidRDefault="00AB1130" w:rsidP="00AB1130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B5F0A">
        <w:rPr>
          <w:rStyle w:val="Strong"/>
          <w:sz w:val="24"/>
          <w:szCs w:val="24"/>
        </w:rPr>
        <w:t>Broader Adoption</w:t>
      </w:r>
      <w:r w:rsidRPr="000B5F0A">
        <w:rPr>
          <w:sz w:val="24"/>
          <w:szCs w:val="24"/>
        </w:rPr>
        <w:t>: Institutional players like JPMorgan and Visa now support stablecoin rails, with projections for $10 trillion in tokenized assets by 2030.</w:t>
      </w:r>
    </w:p>
    <w:p w:rsidR="00AB1130" w:rsidRPr="000B5F0A" w:rsidRDefault="00AB1130" w:rsidP="00AB1130">
      <w:pPr>
        <w:pStyle w:val="NormalWeb"/>
      </w:pPr>
      <w:r w:rsidRPr="000B5F0A">
        <w:t>These cases highlight blockchain's shift from hype to hyper-practical utility.</w:t>
      </w:r>
    </w:p>
    <w:p w:rsidR="00AB1130" w:rsidRDefault="00AB1130" w:rsidP="00AB1130">
      <w:pPr>
        <w:pStyle w:val="Heading2"/>
      </w:pPr>
      <w:r>
        <w:t>Career Opportunities</w:t>
      </w:r>
    </w:p>
    <w:p w:rsidR="00AB1130" w:rsidRDefault="00AB1130" w:rsidP="00AB1130">
      <w:pPr>
        <w:pStyle w:val="NormalWeb"/>
      </w:pPr>
      <w:r>
        <w:t>The block</w:t>
      </w:r>
      <w:r w:rsidR="000B5F0A">
        <w:t xml:space="preserve"> </w:t>
      </w:r>
      <w:r>
        <w:t>chain sector is experiencing explosive growth, with Web3 jobs projected to increase 30% in 2025 amid institutional adoption and regulatory clarity. Demand is high in finance, tech, and government, with global salaries averaging $120,000–$180,000 for mid-level roles. In India, opportunities are surging via initiatives like NBF, with 50,000+ jobs created since 2024.</w:t>
      </w:r>
    </w:p>
    <w:p w:rsidR="00AB1130" w:rsidRPr="000B5F0A" w:rsidRDefault="00AB1130" w:rsidP="00AB1130">
      <w:pPr>
        <w:pStyle w:val="Heading3"/>
        <w:rPr>
          <w:sz w:val="32"/>
          <w:szCs w:val="32"/>
        </w:rPr>
      </w:pPr>
      <w:r w:rsidRPr="000B5F0A">
        <w:rPr>
          <w:sz w:val="32"/>
          <w:szCs w:val="32"/>
        </w:rPr>
        <w:lastRenderedPageBreak/>
        <w:t>Possible Job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4319"/>
        <w:gridCol w:w="1973"/>
        <w:gridCol w:w="1972"/>
      </w:tblGrid>
      <w:tr w:rsidR="00AB1130" w:rsidTr="00AB1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1130" w:rsidRDefault="00AB11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Job Role</w:t>
            </w:r>
          </w:p>
        </w:tc>
        <w:tc>
          <w:tcPr>
            <w:tcW w:w="0" w:type="auto"/>
            <w:vAlign w:val="center"/>
            <w:hideMark/>
          </w:tcPr>
          <w:p w:rsidR="00AB1130" w:rsidRDefault="00AB11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B1130" w:rsidRDefault="00AB11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Average Salary (2025, USD)</w:t>
            </w:r>
          </w:p>
        </w:tc>
        <w:tc>
          <w:tcPr>
            <w:tcW w:w="0" w:type="auto"/>
            <w:vAlign w:val="center"/>
            <w:hideMark/>
          </w:tcPr>
          <w:p w:rsidR="00AB1130" w:rsidRDefault="00AB11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 Employers</w:t>
            </w:r>
          </w:p>
        </w:tc>
      </w:tr>
      <w:tr w:rsidR="00AB1130" w:rsidRPr="000B5F0A" w:rsidTr="00AB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1130" w:rsidRPr="000B5F0A" w:rsidRDefault="000B5F0A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</w:rPr>
              <w:t xml:space="preserve">Blockchain </w:t>
            </w:r>
            <w:r w:rsidR="00AB1130" w:rsidRPr="000B5F0A">
              <w:rPr>
                <w:rStyle w:val="Strong"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AB1130" w:rsidRPr="000B5F0A" w:rsidRDefault="000B5F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Builds </w:t>
            </w:r>
            <w:r w:rsidR="00AB1130" w:rsidRPr="000B5F0A">
              <w:rPr>
                <w:sz w:val="24"/>
                <w:szCs w:val="24"/>
              </w:rPr>
              <w:t>Apps and smart contracts using Solidity/Rust.</w:t>
            </w:r>
          </w:p>
        </w:tc>
        <w:tc>
          <w:tcPr>
            <w:tcW w:w="0" w:type="auto"/>
            <w:vAlign w:val="center"/>
            <w:hideMark/>
          </w:tcPr>
          <w:p w:rsidR="00AB1130" w:rsidRPr="000B5F0A" w:rsidRDefault="00AB1130">
            <w:pPr>
              <w:rPr>
                <w:sz w:val="24"/>
                <w:szCs w:val="24"/>
              </w:rPr>
            </w:pPr>
            <w:r w:rsidRPr="000B5F0A">
              <w:rPr>
                <w:sz w:val="24"/>
                <w:szCs w:val="24"/>
              </w:rPr>
              <w:t>$140,000–$200,000</w:t>
            </w:r>
          </w:p>
        </w:tc>
        <w:tc>
          <w:tcPr>
            <w:tcW w:w="0" w:type="auto"/>
            <w:vAlign w:val="center"/>
            <w:hideMark/>
          </w:tcPr>
          <w:p w:rsidR="00AB1130" w:rsidRPr="000B5F0A" w:rsidRDefault="00AB1130">
            <w:pPr>
              <w:rPr>
                <w:sz w:val="24"/>
                <w:szCs w:val="24"/>
              </w:rPr>
            </w:pPr>
            <w:r w:rsidRPr="000B5F0A">
              <w:rPr>
                <w:sz w:val="24"/>
                <w:szCs w:val="24"/>
              </w:rPr>
              <w:t>ConsenSys, Polygon Labs</w:t>
            </w:r>
          </w:p>
        </w:tc>
      </w:tr>
      <w:tr w:rsidR="00AB1130" w:rsidRPr="000B5F0A" w:rsidTr="00AB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1130" w:rsidRPr="000B5F0A" w:rsidRDefault="00AB1130">
            <w:pPr>
              <w:rPr>
                <w:sz w:val="24"/>
                <w:szCs w:val="24"/>
              </w:rPr>
            </w:pPr>
            <w:r w:rsidRPr="000B5F0A">
              <w:rPr>
                <w:rStyle w:val="Strong"/>
                <w:sz w:val="24"/>
                <w:szCs w:val="24"/>
              </w:rPr>
              <w:t>Smart Contract Auditor</w:t>
            </w:r>
          </w:p>
        </w:tc>
        <w:tc>
          <w:tcPr>
            <w:tcW w:w="0" w:type="auto"/>
            <w:vAlign w:val="center"/>
            <w:hideMark/>
          </w:tcPr>
          <w:p w:rsidR="00AB1130" w:rsidRPr="000B5F0A" w:rsidRDefault="00AB1130">
            <w:pPr>
              <w:rPr>
                <w:sz w:val="24"/>
                <w:szCs w:val="24"/>
              </w:rPr>
            </w:pPr>
            <w:r w:rsidRPr="000B5F0A">
              <w:rPr>
                <w:sz w:val="24"/>
                <w:szCs w:val="24"/>
              </w:rPr>
              <w:t>Reviews code for vulnerabilities; ensures compliance.</w:t>
            </w:r>
          </w:p>
        </w:tc>
        <w:tc>
          <w:tcPr>
            <w:tcW w:w="0" w:type="auto"/>
            <w:vAlign w:val="center"/>
            <w:hideMark/>
          </w:tcPr>
          <w:p w:rsidR="00AB1130" w:rsidRPr="000B5F0A" w:rsidRDefault="00AB1130">
            <w:pPr>
              <w:rPr>
                <w:sz w:val="24"/>
                <w:szCs w:val="24"/>
              </w:rPr>
            </w:pPr>
            <w:r w:rsidRPr="000B5F0A">
              <w:rPr>
                <w:sz w:val="24"/>
                <w:szCs w:val="24"/>
              </w:rPr>
              <w:t>$150,000–$220,000</w:t>
            </w:r>
          </w:p>
        </w:tc>
        <w:tc>
          <w:tcPr>
            <w:tcW w:w="0" w:type="auto"/>
            <w:vAlign w:val="center"/>
            <w:hideMark/>
          </w:tcPr>
          <w:p w:rsidR="00AB1130" w:rsidRPr="000B5F0A" w:rsidRDefault="00AB1130">
            <w:pPr>
              <w:rPr>
                <w:sz w:val="24"/>
                <w:szCs w:val="24"/>
              </w:rPr>
            </w:pPr>
            <w:r w:rsidRPr="000B5F0A">
              <w:rPr>
                <w:sz w:val="24"/>
                <w:szCs w:val="24"/>
              </w:rPr>
              <w:t>Certik, Open</w:t>
            </w:r>
            <w:r w:rsidR="000B5F0A">
              <w:rPr>
                <w:sz w:val="24"/>
                <w:szCs w:val="24"/>
              </w:rPr>
              <w:t xml:space="preserve"> </w:t>
            </w:r>
            <w:r w:rsidRPr="000B5F0A">
              <w:rPr>
                <w:sz w:val="24"/>
                <w:szCs w:val="24"/>
              </w:rPr>
              <w:t>Zeppelin</w:t>
            </w:r>
          </w:p>
        </w:tc>
      </w:tr>
      <w:tr w:rsidR="00AB1130" w:rsidRPr="000B5F0A" w:rsidTr="00AB11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1130" w:rsidRPr="000B5F0A" w:rsidRDefault="00AB1130">
            <w:pPr>
              <w:rPr>
                <w:sz w:val="24"/>
                <w:szCs w:val="24"/>
              </w:rPr>
            </w:pPr>
            <w:r w:rsidRPr="000B5F0A">
              <w:rPr>
                <w:rStyle w:val="Strong"/>
                <w:sz w:val="24"/>
                <w:szCs w:val="24"/>
              </w:rPr>
              <w:t>Blockchain Engineer</w:t>
            </w:r>
          </w:p>
        </w:tc>
        <w:tc>
          <w:tcPr>
            <w:tcW w:w="0" w:type="auto"/>
            <w:vAlign w:val="center"/>
            <w:hideMark/>
          </w:tcPr>
          <w:p w:rsidR="00AB1130" w:rsidRPr="000B5F0A" w:rsidRDefault="00AB1130">
            <w:pPr>
              <w:rPr>
                <w:sz w:val="24"/>
                <w:szCs w:val="24"/>
              </w:rPr>
            </w:pPr>
            <w:r w:rsidRPr="000B5F0A">
              <w:rPr>
                <w:sz w:val="24"/>
                <w:szCs w:val="24"/>
              </w:rPr>
              <w:t>Designs scalable architectures; integrates with legacy systems.</w:t>
            </w:r>
          </w:p>
        </w:tc>
        <w:tc>
          <w:tcPr>
            <w:tcW w:w="0" w:type="auto"/>
            <w:vAlign w:val="center"/>
            <w:hideMark/>
          </w:tcPr>
          <w:p w:rsidR="00AB1130" w:rsidRPr="000B5F0A" w:rsidRDefault="00AB1130">
            <w:pPr>
              <w:rPr>
                <w:sz w:val="24"/>
                <w:szCs w:val="24"/>
              </w:rPr>
            </w:pPr>
            <w:r w:rsidRPr="000B5F0A">
              <w:rPr>
                <w:sz w:val="24"/>
                <w:szCs w:val="24"/>
              </w:rPr>
              <w:t>$130,000–$190,000</w:t>
            </w:r>
          </w:p>
        </w:tc>
        <w:tc>
          <w:tcPr>
            <w:tcW w:w="0" w:type="auto"/>
            <w:vAlign w:val="center"/>
            <w:hideMark/>
          </w:tcPr>
          <w:p w:rsidR="00AB1130" w:rsidRPr="000B5F0A" w:rsidRDefault="00AB1130">
            <w:pPr>
              <w:rPr>
                <w:sz w:val="24"/>
                <w:szCs w:val="24"/>
              </w:rPr>
            </w:pPr>
            <w:r w:rsidRPr="000B5F0A">
              <w:rPr>
                <w:sz w:val="24"/>
                <w:szCs w:val="24"/>
              </w:rPr>
              <w:t>IBM, Accenture</w:t>
            </w:r>
          </w:p>
        </w:tc>
      </w:tr>
    </w:tbl>
    <w:p w:rsidR="00AB1130" w:rsidRDefault="00AB1130" w:rsidP="00AB1130">
      <w:pPr>
        <w:pStyle w:val="NormalWeb"/>
      </w:pPr>
      <w:r>
        <w:t>Entry-level roles like Blockchain Analyst focus on data/trend analysis, while senior positions like CTO in Web3 startups command $</w:t>
      </w:r>
      <w:r w:rsidR="004D0B82">
        <w:t>250,000+.</w:t>
      </w:r>
    </w:p>
    <w:p w:rsidR="00AB2836" w:rsidRPr="00AB2836" w:rsidRDefault="00AB2836" w:rsidP="00AB1130">
      <w:pPr>
        <w:pStyle w:val="NormalWeb"/>
        <w:rPr>
          <w:sz w:val="32"/>
          <w:szCs w:val="32"/>
        </w:rPr>
      </w:pPr>
    </w:p>
    <w:p w:rsidR="00AB2836" w:rsidRPr="00AB2836" w:rsidRDefault="00AB2836" w:rsidP="00AB1130">
      <w:pPr>
        <w:pStyle w:val="NormalWeb"/>
        <w:rPr>
          <w:b/>
          <w:sz w:val="32"/>
          <w:szCs w:val="32"/>
        </w:rPr>
      </w:pPr>
      <w:r w:rsidRPr="00AB2836">
        <w:rPr>
          <w:b/>
          <w:sz w:val="32"/>
          <w:szCs w:val="32"/>
        </w:rPr>
        <w:t>Career growth in blockchain</w:t>
      </w:r>
      <w:bookmarkStart w:id="0" w:name="_GoBack"/>
      <w:bookmarkEnd w:id="0"/>
    </w:p>
    <w:p w:rsidR="004D0B82" w:rsidRPr="004D0B82" w:rsidRDefault="00F01CB2" w:rsidP="00AB1130">
      <w:pPr>
        <w:pStyle w:val="NormalWeb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486400" cy="3200400"/>
            <wp:effectExtent l="0" t="0" r="19050" b="190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4D0B82" w:rsidRPr="004D0B82" w:rsidSect="00362B5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C5825"/>
    <w:multiLevelType w:val="multilevel"/>
    <w:tmpl w:val="8202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801F0F"/>
    <w:multiLevelType w:val="multilevel"/>
    <w:tmpl w:val="8E1A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813F03"/>
    <w:multiLevelType w:val="multilevel"/>
    <w:tmpl w:val="1EF4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6954E3"/>
    <w:multiLevelType w:val="multilevel"/>
    <w:tmpl w:val="8D2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8465A4"/>
    <w:multiLevelType w:val="multilevel"/>
    <w:tmpl w:val="2BE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BF5AC0"/>
    <w:multiLevelType w:val="multilevel"/>
    <w:tmpl w:val="69B0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B54"/>
    <w:rsid w:val="000B5F0A"/>
    <w:rsid w:val="00362B54"/>
    <w:rsid w:val="004D0B82"/>
    <w:rsid w:val="00AB1130"/>
    <w:rsid w:val="00AB2836"/>
    <w:rsid w:val="00F0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2B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1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2B5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62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13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B113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C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C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2B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1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2B5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62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13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B113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C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C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2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23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09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19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4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8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rAngAx val="1"/>
    </c:view3D>
    <c:floor>
      <c:thickness val="0"/>
    </c:floor>
    <c:sideWall>
      <c:thickness val="0"/>
    </c:sideWall>
    <c:backWall>
      <c:thickness val="0"/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invertIfNegative val="0"/>
          <c:cat>
            <c:numRef>
              <c:f>Sheet1!$A$2:$A$9</c:f>
              <c:numCache>
                <c:formatCode>General</c:formatCode>
                <c:ptCount val="8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  <c:pt idx="6">
                  <c:v>2024</c:v>
                </c:pt>
                <c:pt idx="7">
                  <c:v>2025</c:v>
                </c:pt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20</c:v>
                </c:pt>
                <c:pt idx="1">
                  <c:v>40</c:v>
                </c:pt>
                <c:pt idx="2">
                  <c:v>50</c:v>
                </c:pt>
                <c:pt idx="3">
                  <c:v>75</c:v>
                </c:pt>
                <c:pt idx="4">
                  <c:v>120</c:v>
                </c:pt>
                <c:pt idx="5">
                  <c:v>160</c:v>
                </c:pt>
                <c:pt idx="6">
                  <c:v>190</c:v>
                </c:pt>
                <c:pt idx="7">
                  <c:v>260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213396480"/>
        <c:axId val="222888704"/>
        <c:axId val="0"/>
      </c:bar3DChart>
      <c:catAx>
        <c:axId val="21339648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22888704"/>
        <c:crosses val="autoZero"/>
        <c:auto val="1"/>
        <c:lblAlgn val="ctr"/>
        <c:lblOffset val="100"/>
        <c:noMultiLvlLbl val="0"/>
      </c:catAx>
      <c:valAx>
        <c:axId val="22288870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3396480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1122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2025-11-20T08:33:00Z</dcterms:created>
  <dcterms:modified xsi:type="dcterms:W3CDTF">2025-11-20T09:31:00Z</dcterms:modified>
</cp:coreProperties>
</file>