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SIMPLY PAPER</w:t>
      </w:r>
    </w:p>
    <w:p>
      <w:pPr>
        <w:pStyle w:val="Subtitle"/>
      </w:pPr>
      <w:r>
        <w:t>Manufacturing, B2B supply and material innovation</w:t>
      </w:r>
    </w:p>
    <w:p>
      <w:r>
        <w:rPr>
          <w:b/>
        </w:rPr>
        <w:t>Better Materials. Better Everyday Products.</w:t>
      </w:r>
    </w:p>
    <w:p>
      <w:r>
        <w:t>24 September 2026  |  Version 1.0  |  Draft for review</w:t>
      </w:r>
    </w:p>
    <w:p/>
    <w:p>
      <w:pPr>
        <w:pStyle w:val="Heading1"/>
      </w:pPr>
      <w:r>
        <w:t>1. Executive summary</w:t>
      </w:r>
    </w:p>
    <w:p>
      <w:r>
        <w:t>Simply Paper is a proposed manufacturing-led B2B business producing everyday paper, hygiene and packaging products while developing alternatives using innovative materials. Its core categories are paper bags, tissue, hygiene products, thermal rolls and kitchen rolls. Planned innovations include biodegradable cutlery, bagasse tableware, edible cutlery and paddy husk products. The business will pursue bulk B2B, custom manufacturing, private-label, institutional supply and sustainable product development partnerships.</w:t>
      </w:r>
    </w:p>
    <w:p>
      <w:pPr>
        <w:pStyle w:val="Heading1"/>
      </w:pPr>
      <w:r>
        <w:t>2. Business challenge and opportunity</w:t>
      </w:r>
    </w:p>
    <w:p>
      <w:r>
        <w:t>Businesses require frequently replenished consumables with consistent quality, reliable supply, practical customisation and predictable procurement. Alternative-material products also require commercial feasibility and verified performance. Simply Paper intends to combine repeatable core manufacturing with a staged material innovation programme.</w:t>
      </w:r>
    </w:p>
    <w:p>
      <w:pPr>
        <w:pStyle w:val="Heading1"/>
      </w:pPr>
      <w:r>
        <w:t>3. Vision and mission</w:t>
      </w:r>
    </w:p>
    <w:p>
      <w:r>
        <w:t>Vision: Make better everyday materials and products accessible to businesses at scale.</w:t>
      </w:r>
    </w:p>
    <w:p>
      <w:r>
        <w:t>Mission: Manufacture reliable paper, packaging and hygiene products while developing practical alternatives through material innovation and continuous process improvement.</w:t>
      </w:r>
    </w:p>
    <w:p>
      <w:pPr>
        <w:pStyle w:val="Heading1"/>
      </w:pPr>
      <w:r>
        <w:t>4. Business objectives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ID</w:t>
            </w:r>
          </w:p>
        </w:tc>
        <w:tc>
          <w:tcPr>
            <w:tcW w:type="dxa" w:w="3264"/>
          </w:tcPr>
          <w:p>
            <w:r>
              <w:t>Objective</w:t>
            </w:r>
          </w:p>
        </w:tc>
        <w:tc>
          <w:tcPr>
            <w:tcW w:type="dxa" w:w="3264"/>
          </w:tcPr>
          <w:p>
            <w:r>
              <w:t>Expected outcome</w:t>
            </w:r>
          </w:p>
        </w:tc>
      </w:tr>
      <w:tr>
        <w:tc>
          <w:tcPr>
            <w:tcW w:type="dxa" w:w="3264"/>
          </w:tcPr>
          <w:p>
            <w:r>
              <w:t>BO-01</w:t>
            </w:r>
          </w:p>
        </w:tc>
        <w:tc>
          <w:tcPr>
            <w:tcW w:type="dxa" w:w="3264"/>
          </w:tcPr>
          <w:p>
            <w:r>
              <w:t>Establish brand and market positioning</w:t>
            </w:r>
          </w:p>
        </w:tc>
        <w:tc>
          <w:tcPr>
            <w:tcW w:type="dxa" w:w="3264"/>
          </w:tcPr>
          <w:p>
            <w:r>
              <w:t>Recognisable B2B manufacturing identity</w:t>
            </w:r>
          </w:p>
        </w:tc>
      </w:tr>
      <w:tr>
        <w:tc>
          <w:tcPr>
            <w:tcW w:type="dxa" w:w="3264"/>
          </w:tcPr>
          <w:p>
            <w:r>
              <w:t>BO-02</w:t>
            </w:r>
          </w:p>
        </w:tc>
        <w:tc>
          <w:tcPr>
            <w:tcW w:type="dxa" w:w="3264"/>
          </w:tcPr>
          <w:p>
            <w:r>
              <w:t>Develop viable core portfolio</w:t>
            </w:r>
          </w:p>
        </w:tc>
        <w:tc>
          <w:tcPr>
            <w:tcW w:type="dxa" w:w="3264"/>
          </w:tcPr>
          <w:p>
            <w:r>
              <w:t>Diversified recurring revenue</w:t>
            </w:r>
          </w:p>
        </w:tc>
      </w:tr>
      <w:tr>
        <w:tc>
          <w:tcPr>
            <w:tcW w:type="dxa" w:w="3264"/>
          </w:tcPr>
          <w:p>
            <w:r>
              <w:t>BO-03</w:t>
            </w:r>
          </w:p>
        </w:tc>
        <w:tc>
          <w:tcPr>
            <w:tcW w:type="dxa" w:w="3264"/>
          </w:tcPr>
          <w:p>
            <w:r>
              <w:t>Establish supply partnerships</w:t>
            </w:r>
          </w:p>
        </w:tc>
        <w:tc>
          <w:tcPr>
            <w:tcW w:type="dxa" w:w="3264"/>
          </w:tcPr>
          <w:p>
            <w:r>
              <w:t>Repeat commercial and institutional orders</w:t>
            </w:r>
          </w:p>
        </w:tc>
      </w:tr>
      <w:tr>
        <w:tc>
          <w:tcPr>
            <w:tcW w:type="dxa" w:w="3264"/>
          </w:tcPr>
          <w:p>
            <w:r>
              <w:t>BO-04</w:t>
            </w:r>
          </w:p>
        </w:tc>
        <w:tc>
          <w:tcPr>
            <w:tcW w:type="dxa" w:w="3264"/>
          </w:tcPr>
          <w:p>
            <w:r>
              <w:t>Offer custom and private-label manufacturing</w:t>
            </w:r>
          </w:p>
        </w:tc>
        <w:tc>
          <w:tcPr>
            <w:tcW w:type="dxa" w:w="3264"/>
          </w:tcPr>
          <w:p>
            <w:r>
              <w:t>Higher-value customer relationships</w:t>
            </w:r>
          </w:p>
        </w:tc>
      </w:tr>
      <w:tr>
        <w:tc>
          <w:tcPr>
            <w:tcW w:type="dxa" w:w="3264"/>
          </w:tcPr>
          <w:p>
            <w:r>
              <w:t>BO-05</w:t>
            </w:r>
          </w:p>
        </w:tc>
        <w:tc>
          <w:tcPr>
            <w:tcW w:type="dxa" w:w="3264"/>
          </w:tcPr>
          <w:p>
            <w:r>
              <w:t>Improve consistency and delivery</w:t>
            </w:r>
          </w:p>
        </w:tc>
        <w:tc>
          <w:tcPr>
            <w:tcW w:type="dxa" w:w="3264"/>
          </w:tcPr>
          <w:p>
            <w:r>
              <w:t>Repeatable quality and fulfilment</w:t>
            </w:r>
          </w:p>
        </w:tc>
      </w:tr>
      <w:tr>
        <w:tc>
          <w:tcPr>
            <w:tcW w:type="dxa" w:w="3264"/>
          </w:tcPr>
          <w:p>
            <w:r>
              <w:t>BO-06</w:t>
            </w:r>
          </w:p>
        </w:tc>
        <w:tc>
          <w:tcPr>
            <w:tcW w:type="dxa" w:w="3264"/>
          </w:tcPr>
          <w:p>
            <w:r>
              <w:t>Develop alternative materials</w:t>
            </w:r>
          </w:p>
        </w:tc>
        <w:tc>
          <w:tcPr>
            <w:tcW w:type="dxa" w:w="3264"/>
          </w:tcPr>
          <w:p>
            <w:r>
              <w:t>Validated future portfolio</w:t>
            </w:r>
          </w:p>
        </w:tc>
      </w:tr>
      <w:tr>
        <w:tc>
          <w:tcPr>
            <w:tcW w:type="dxa" w:w="3264"/>
          </w:tcPr>
          <w:p>
            <w:r>
              <w:t>BO-07</w:t>
            </w:r>
          </w:p>
        </w:tc>
        <w:tc>
          <w:tcPr>
            <w:tcW w:type="dxa" w:w="3264"/>
          </w:tcPr>
          <w:p>
            <w:r>
              <w:t>Build digital lead generation</w:t>
            </w:r>
          </w:p>
        </w:tc>
        <w:tc>
          <w:tcPr>
            <w:tcW w:type="dxa" w:w="3264"/>
          </w:tcPr>
          <w:p>
            <w:r>
              <w:t>Qualified business enquiries</w:t>
            </w:r>
          </w:p>
        </w:tc>
      </w:tr>
    </w:tbl>
    <w:p>
      <w:pPr>
        <w:pStyle w:val="Heading1"/>
      </w:pPr>
      <w:r>
        <w:t>5. Business scope</w:t>
      </w:r>
    </w:p>
    <w:p>
      <w:pPr>
        <w:pStyle w:val="Heading2"/>
      </w:pPr>
      <w:r>
        <w:t>Core manufacturing</w:t>
      </w:r>
    </w:p>
    <w:p>
      <w:pPr>
        <w:pStyle w:val="ListBullet"/>
      </w:pPr>
      <w:r>
        <w:t>Paper Bags</w:t>
      </w:r>
    </w:p>
    <w:p>
      <w:pPr>
        <w:pStyle w:val="ListBullet"/>
      </w:pPr>
      <w:r>
        <w:t>Tissue Products</w:t>
      </w:r>
    </w:p>
    <w:p>
      <w:pPr>
        <w:pStyle w:val="ListBullet"/>
      </w:pPr>
      <w:r>
        <w:t>Hygiene Products</w:t>
      </w:r>
    </w:p>
    <w:p>
      <w:pPr>
        <w:pStyle w:val="ListBullet"/>
      </w:pPr>
      <w:r>
        <w:t>Thermal Rolls</w:t>
      </w:r>
    </w:p>
    <w:p>
      <w:pPr>
        <w:pStyle w:val="ListBullet"/>
      </w:pPr>
      <w:r>
        <w:t>Kitchen Rolls</w:t>
      </w:r>
    </w:p>
    <w:p>
      <w:pPr>
        <w:pStyle w:val="Heading2"/>
      </w:pPr>
      <w:r>
        <w:t>Planned material innovation</w:t>
      </w:r>
    </w:p>
    <w:p>
      <w:pPr>
        <w:pStyle w:val="ListBullet"/>
      </w:pPr>
      <w:r>
        <w:t>Biodegradable Cutlery</w:t>
      </w:r>
    </w:p>
    <w:p>
      <w:pPr>
        <w:pStyle w:val="ListBullet"/>
      </w:pPr>
      <w:r>
        <w:t>Bagasse Tableware</w:t>
      </w:r>
    </w:p>
    <w:p>
      <w:pPr>
        <w:pStyle w:val="ListBullet"/>
      </w:pPr>
      <w:r>
        <w:t>Edible Cutlery</w:t>
      </w:r>
    </w:p>
    <w:p>
      <w:pPr>
        <w:pStyle w:val="ListBullet"/>
      </w:pPr>
      <w:r>
        <w:t>Paddy Husk Products</w:t>
      </w:r>
    </w:p>
    <w:p>
      <w:r>
        <w:t>Availability, manufacturing ownership, capacities, variants and technical readiness require business confirmation.</w:t>
      </w:r>
    </w:p>
    <w:p>
      <w:pPr>
        <w:pStyle w:val="Heading1"/>
      </w:pPr>
      <w:r>
        <w:t>6. Target customers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Segment</w:t>
            </w:r>
          </w:p>
        </w:tc>
        <w:tc>
          <w:tcPr>
            <w:tcW w:type="dxa" w:w="4896"/>
          </w:tcPr>
          <w:p>
            <w:r>
              <w:t>Potential demand</w:t>
            </w:r>
          </w:p>
        </w:tc>
      </w:tr>
      <w:tr>
        <w:tc>
          <w:tcPr>
            <w:tcW w:type="dxa" w:w="4896"/>
          </w:tcPr>
          <w:p>
            <w:r>
              <w:t>Retail and e-commerce</w:t>
            </w:r>
          </w:p>
        </w:tc>
        <w:tc>
          <w:tcPr>
            <w:tcW w:type="dxa" w:w="4896"/>
          </w:tcPr>
          <w:p>
            <w:r>
              <w:t>Paper bags, packaging and thermal rolls</w:t>
            </w:r>
          </w:p>
        </w:tc>
      </w:tr>
      <w:tr>
        <w:tc>
          <w:tcPr>
            <w:tcW w:type="dxa" w:w="4896"/>
          </w:tcPr>
          <w:p>
            <w:r>
              <w:t>Hospitality and restaurants</w:t>
            </w:r>
          </w:p>
        </w:tc>
        <w:tc>
          <w:tcPr>
            <w:tcW w:type="dxa" w:w="4896"/>
          </w:tcPr>
          <w:p>
            <w:r>
              <w:t>Tissue, kitchen rolls, hygiene and future tableware</w:t>
            </w:r>
          </w:p>
        </w:tc>
      </w:tr>
      <w:tr>
        <w:tc>
          <w:tcPr>
            <w:tcW w:type="dxa" w:w="4896"/>
          </w:tcPr>
          <w:p>
            <w:r>
              <w:t>Food service</w:t>
            </w:r>
          </w:p>
        </w:tc>
        <w:tc>
          <w:tcPr>
            <w:tcW w:type="dxa" w:w="4896"/>
          </w:tcPr>
          <w:p>
            <w:r>
              <w:t>Consumables and alternative-material tableware</w:t>
            </w:r>
          </w:p>
        </w:tc>
      </w:tr>
      <w:tr>
        <w:tc>
          <w:tcPr>
            <w:tcW w:type="dxa" w:w="4896"/>
          </w:tcPr>
          <w:p>
            <w:r>
              <w:t>Healthcare</w:t>
            </w:r>
          </w:p>
        </w:tc>
        <w:tc>
          <w:tcPr>
            <w:tcW w:type="dxa" w:w="4896"/>
          </w:tcPr>
          <w:p>
            <w:r>
              <w:t>Suitable approved tissue and hygiene products</w:t>
            </w:r>
          </w:p>
        </w:tc>
      </w:tr>
      <w:tr>
        <w:tc>
          <w:tcPr>
            <w:tcW w:type="dxa" w:w="4896"/>
          </w:tcPr>
          <w:p>
            <w:r>
              <w:t>Textile</w:t>
            </w:r>
          </w:p>
        </w:tc>
        <w:tc>
          <w:tcPr>
            <w:tcW w:type="dxa" w:w="4896"/>
          </w:tcPr>
          <w:p>
            <w:r>
              <w:t>Custom branded paper bags</w:t>
            </w:r>
          </w:p>
        </w:tc>
      </w:tr>
      <w:tr>
        <w:tc>
          <w:tcPr>
            <w:tcW w:type="dxa" w:w="4896"/>
          </w:tcPr>
          <w:p>
            <w:r>
              <w:t>Institutions</w:t>
            </w:r>
          </w:p>
        </w:tc>
        <w:tc>
          <w:tcPr>
            <w:tcW w:type="dxa" w:w="4896"/>
          </w:tcPr>
          <w:p>
            <w:r>
              <w:t>Bulk recurring procurement</w:t>
            </w:r>
          </w:p>
        </w:tc>
      </w:tr>
      <w:tr>
        <w:tc>
          <w:tcPr>
            <w:tcW w:type="dxa" w:w="4896"/>
          </w:tcPr>
          <w:p>
            <w:r>
              <w:t>Distributors and private-label brands</w:t>
            </w:r>
          </w:p>
        </w:tc>
        <w:tc>
          <w:tcPr>
            <w:tcW w:type="dxa" w:w="4896"/>
          </w:tcPr>
          <w:p>
            <w:r>
              <w:t>Wholesale supply and customised manufacturing</w:t>
            </w:r>
          </w:p>
        </w:tc>
      </w:tr>
    </w:tbl>
    <w:p>
      <w:pPr>
        <w:pStyle w:val="Heading1"/>
      </w:pPr>
      <w:r>
        <w:t>7. Business model and revenue</w:t>
      </w:r>
    </w:p>
    <w:p>
      <w:pPr>
        <w:pStyle w:val="ListBullet"/>
      </w:pPr>
      <w:r>
        <w:t>Bulk B2B manufacturing and wholesale supply.</w:t>
      </w:r>
    </w:p>
    <w:p>
      <w:pPr>
        <w:pStyle w:val="ListBullet"/>
      </w:pPr>
      <w:r>
        <w:t>Custom manufacturing to agreed dimensions, materials and packaging.</w:t>
      </w:r>
    </w:p>
    <w:p>
      <w:pPr>
        <w:pStyle w:val="ListBullet"/>
      </w:pPr>
      <w:r>
        <w:t>Private-label products under customers’ brands.</w:t>
      </w:r>
    </w:p>
    <w:p>
      <w:pPr>
        <w:pStyle w:val="ListBullet"/>
      </w:pPr>
      <w:r>
        <w:t>Institutional supply and recurring contracts.</w:t>
      </w:r>
    </w:p>
    <w:p>
      <w:pPr>
        <w:pStyle w:val="ListBullet"/>
      </w:pPr>
      <w:r>
        <w:t>Future co-development and commercialisation of alternative-material products.</w:t>
      </w:r>
    </w:p>
    <w:p>
      <w:r>
        <w:t>Pricing, minimum order quantities, payment terms and credit policies must be established by category using validated costs and customer requirements.</w:t>
      </w:r>
    </w:p>
    <w:p>
      <w:pPr>
        <w:pStyle w:val="Heading1"/>
      </w:pPr>
      <w:r>
        <w:t>8. Business requirements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ID</w:t>
            </w:r>
          </w:p>
        </w:tc>
        <w:tc>
          <w:tcPr>
            <w:tcW w:type="dxa" w:w="3264"/>
          </w:tcPr>
          <w:p>
            <w:r>
              <w:t>Requirement</w:t>
            </w:r>
          </w:p>
        </w:tc>
        <w:tc>
          <w:tcPr>
            <w:tcW w:type="dxa" w:w="3264"/>
          </w:tcPr>
          <w:p>
            <w:r>
              <w:t>Priority</w:t>
            </w:r>
          </w:p>
        </w:tc>
      </w:tr>
      <w:tr>
        <w:tc>
          <w:tcPr>
            <w:tcW w:type="dxa" w:w="3264"/>
          </w:tcPr>
          <w:p>
            <w:r>
              <w:t>BR-01</w:t>
            </w:r>
          </w:p>
        </w:tc>
        <w:tc>
          <w:tcPr>
            <w:tcW w:type="dxa" w:w="3264"/>
          </w:tcPr>
          <w:p>
            <w:r>
              <w:t>Brand and go-to-market positioning</w:t>
            </w:r>
          </w:p>
        </w:tc>
        <w:tc>
          <w:tcPr>
            <w:tcW w:type="dxa" w:w="3264"/>
          </w:tcPr>
          <w:p>
            <w:r>
              <w:t>High</w:t>
            </w:r>
          </w:p>
        </w:tc>
      </w:tr>
      <w:tr>
        <w:tc>
          <w:tcPr>
            <w:tcW w:type="dxa" w:w="3264"/>
          </w:tcPr>
          <w:p>
            <w:r>
              <w:t>BR-02</w:t>
            </w:r>
          </w:p>
        </w:tc>
        <w:tc>
          <w:tcPr>
            <w:tcW w:type="dxa" w:w="3264"/>
          </w:tcPr>
          <w:p>
            <w:r>
              <w:t>Approved core product specifications and commercial range</w:t>
            </w:r>
          </w:p>
        </w:tc>
        <w:tc>
          <w:tcPr>
            <w:tcW w:type="dxa" w:w="3264"/>
          </w:tcPr>
          <w:p>
            <w:r>
              <w:t>High</w:t>
            </w:r>
          </w:p>
        </w:tc>
      </w:tr>
      <w:tr>
        <w:tc>
          <w:tcPr>
            <w:tcW w:type="dxa" w:w="3264"/>
          </w:tcPr>
          <w:p>
            <w:r>
              <w:t>BR-03</w:t>
            </w:r>
          </w:p>
        </w:tc>
        <w:tc>
          <w:tcPr>
            <w:tcW w:type="dxa" w:w="3264"/>
          </w:tcPr>
          <w:p>
            <w:r>
              <w:t>Production capacity and qualified raw material suppliers</w:t>
            </w:r>
          </w:p>
        </w:tc>
        <w:tc>
          <w:tcPr>
            <w:tcW w:type="dxa" w:w="3264"/>
          </w:tcPr>
          <w:p>
            <w:r>
              <w:t>High</w:t>
            </w:r>
          </w:p>
        </w:tc>
      </w:tr>
      <w:tr>
        <w:tc>
          <w:tcPr>
            <w:tcW w:type="dxa" w:w="3264"/>
          </w:tcPr>
          <w:p>
            <w:r>
              <w:t>BR-04</w:t>
            </w:r>
          </w:p>
        </w:tc>
        <w:tc>
          <w:tcPr>
            <w:tcW w:type="dxa" w:w="3264"/>
          </w:tcPr>
          <w:p>
            <w:r>
              <w:t>Documented quality assurance and inspection</w:t>
            </w:r>
          </w:p>
        </w:tc>
        <w:tc>
          <w:tcPr>
            <w:tcW w:type="dxa" w:w="3264"/>
          </w:tcPr>
          <w:p>
            <w:r>
              <w:t>High</w:t>
            </w:r>
          </w:p>
        </w:tc>
      </w:tr>
      <w:tr>
        <w:tc>
          <w:tcPr>
            <w:tcW w:type="dxa" w:w="3264"/>
          </w:tcPr>
          <w:p>
            <w:r>
              <w:t>BR-05</w:t>
            </w:r>
          </w:p>
        </w:tc>
        <w:tc>
          <w:tcPr>
            <w:tcW w:type="dxa" w:w="3264"/>
          </w:tcPr>
          <w:p>
            <w:r>
              <w:t>B2B quotation, ordering and customer follow-up</w:t>
            </w:r>
          </w:p>
        </w:tc>
        <w:tc>
          <w:tcPr>
            <w:tcW w:type="dxa" w:w="3264"/>
          </w:tcPr>
          <w:p>
            <w:r>
              <w:t>High</w:t>
            </w:r>
          </w:p>
        </w:tc>
      </w:tr>
      <w:tr>
        <w:tc>
          <w:tcPr>
            <w:tcW w:type="dxa" w:w="3264"/>
          </w:tcPr>
          <w:p>
            <w:r>
              <w:t>BR-06</w:t>
            </w:r>
          </w:p>
        </w:tc>
        <w:tc>
          <w:tcPr>
            <w:tcW w:type="dxa" w:w="3264"/>
          </w:tcPr>
          <w:p>
            <w:r>
              <w:t>Customisation and private-label process</w:t>
            </w:r>
          </w:p>
        </w:tc>
        <w:tc>
          <w:tcPr>
            <w:tcW w:type="dxa" w:w="3264"/>
          </w:tcPr>
          <w:p>
            <w:r>
              <w:t>High</w:t>
            </w:r>
          </w:p>
        </w:tc>
      </w:tr>
      <w:tr>
        <w:tc>
          <w:tcPr>
            <w:tcW w:type="dxa" w:w="3264"/>
          </w:tcPr>
          <w:p>
            <w:r>
              <w:t>BR-07</w:t>
            </w:r>
          </w:p>
        </w:tc>
        <w:tc>
          <w:tcPr>
            <w:tcW w:type="dxa" w:w="3264"/>
          </w:tcPr>
          <w:p>
            <w:r>
              <w:t>Distribution, inventory and logistics arrangements</w:t>
            </w:r>
          </w:p>
        </w:tc>
        <w:tc>
          <w:tcPr>
            <w:tcW w:type="dxa" w:w="3264"/>
          </w:tcPr>
          <w:p>
            <w:r>
              <w:t>High</w:t>
            </w:r>
          </w:p>
        </w:tc>
      </w:tr>
      <w:tr>
        <w:tc>
          <w:tcPr>
            <w:tcW w:type="dxa" w:w="3264"/>
          </w:tcPr>
          <w:p>
            <w:r>
              <w:t>BR-08</w:t>
            </w:r>
          </w:p>
        </w:tc>
        <w:tc>
          <w:tcPr>
            <w:tcW w:type="dxa" w:w="3264"/>
          </w:tcPr>
          <w:p>
            <w:r>
              <w:t>Corporate website and qualified lead capture</w:t>
            </w:r>
          </w:p>
        </w:tc>
        <w:tc>
          <w:tcPr>
            <w:tcW w:type="dxa" w:w="3264"/>
          </w:tcPr>
          <w:p>
            <w:r>
              <w:t>High</w:t>
            </w:r>
          </w:p>
        </w:tc>
      </w:tr>
      <w:tr>
        <w:tc>
          <w:tcPr>
            <w:tcW w:type="dxa" w:w="3264"/>
          </w:tcPr>
          <w:p>
            <w:r>
              <w:t>BR-09</w:t>
            </w:r>
          </w:p>
        </w:tc>
        <w:tc>
          <w:tcPr>
            <w:tcW w:type="dxa" w:w="3264"/>
          </w:tcPr>
          <w:p>
            <w:r>
              <w:t>Management reporting for production and sales</w:t>
            </w:r>
          </w:p>
        </w:tc>
        <w:tc>
          <w:tcPr>
            <w:tcW w:type="dxa" w:w="3264"/>
          </w:tcPr>
          <w:p>
            <w:r>
              <w:t>Medium</w:t>
            </w:r>
          </w:p>
        </w:tc>
      </w:tr>
      <w:tr>
        <w:tc>
          <w:tcPr>
            <w:tcW w:type="dxa" w:w="3264"/>
          </w:tcPr>
          <w:p>
            <w:r>
              <w:t>BR-10</w:t>
            </w:r>
          </w:p>
        </w:tc>
        <w:tc>
          <w:tcPr>
            <w:tcW w:type="dxa" w:w="3264"/>
          </w:tcPr>
          <w:p>
            <w:r>
              <w:t>Stage-gated material innovation programme</w:t>
            </w:r>
          </w:p>
        </w:tc>
        <w:tc>
          <w:tcPr>
            <w:tcW w:type="dxa" w:w="3264"/>
          </w:tcPr>
          <w:p>
            <w:r>
              <w:t>Medium</w:t>
            </w:r>
          </w:p>
        </w:tc>
      </w:tr>
      <w:tr>
        <w:tc>
          <w:tcPr>
            <w:tcW w:type="dxa" w:w="3264"/>
          </w:tcPr>
          <w:p>
            <w:r>
              <w:t>BR-11</w:t>
            </w:r>
          </w:p>
        </w:tc>
        <w:tc>
          <w:tcPr>
            <w:tcW w:type="dxa" w:w="3264"/>
          </w:tcPr>
          <w:p>
            <w:r>
              <w:t>Institutional contract capability</w:t>
            </w:r>
          </w:p>
        </w:tc>
        <w:tc>
          <w:tcPr>
            <w:tcW w:type="dxa" w:w="3264"/>
          </w:tcPr>
          <w:p>
            <w:r>
              <w:t>Medium</w:t>
            </w:r>
          </w:p>
        </w:tc>
      </w:tr>
      <w:tr>
        <w:tc>
          <w:tcPr>
            <w:tcW w:type="dxa" w:w="3264"/>
          </w:tcPr>
          <w:p>
            <w:r>
              <w:t>BR-12</w:t>
            </w:r>
          </w:p>
        </w:tc>
        <w:tc>
          <w:tcPr>
            <w:tcW w:type="dxa" w:w="3264"/>
          </w:tcPr>
          <w:p>
            <w:r>
              <w:t>Expansion into additional markets</w:t>
            </w:r>
          </w:p>
        </w:tc>
        <w:tc>
          <w:tcPr>
            <w:tcW w:type="dxa" w:w="3264"/>
          </w:tcPr>
          <w:p>
            <w:r>
              <w:t>Future</w:t>
            </w:r>
          </w:p>
        </w:tc>
      </w:tr>
    </w:tbl>
    <w:p>
      <w:pPr>
        <w:pStyle w:val="Heading1"/>
      </w:pPr>
      <w:r>
        <w:t>9. Manufacturing philosophy</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Stage</w:t>
            </w:r>
          </w:p>
        </w:tc>
        <w:tc>
          <w:tcPr>
            <w:tcW w:type="dxa" w:w="4896"/>
          </w:tcPr>
          <w:p>
            <w:r>
              <w:t>Business expectation</w:t>
            </w:r>
          </w:p>
        </w:tc>
      </w:tr>
      <w:tr>
        <w:tc>
          <w:tcPr>
            <w:tcW w:type="dxa" w:w="4896"/>
          </w:tcPr>
          <w:p>
            <w:r>
              <w:t>Make</w:t>
            </w:r>
          </w:p>
        </w:tc>
        <w:tc>
          <w:tcPr>
            <w:tcW w:type="dxa" w:w="4896"/>
          </w:tcPr>
          <w:p>
            <w:r>
              <w:t>Document approved materials, specifications and repeatable production processes</w:t>
            </w:r>
          </w:p>
        </w:tc>
      </w:tr>
      <w:tr>
        <w:tc>
          <w:tcPr>
            <w:tcW w:type="dxa" w:w="4896"/>
          </w:tcPr>
          <w:p>
            <w:r>
              <w:t>Measure</w:t>
            </w:r>
          </w:p>
        </w:tc>
        <w:tc>
          <w:tcPr>
            <w:tcW w:type="dxa" w:w="4896"/>
          </w:tcPr>
          <w:p>
            <w:r>
              <w:t>Monitor output, defects, material use and delivery</w:t>
            </w:r>
          </w:p>
        </w:tc>
      </w:tr>
      <w:tr>
        <w:tc>
          <w:tcPr>
            <w:tcW w:type="dxa" w:w="4896"/>
          </w:tcPr>
          <w:p>
            <w:r>
              <w:t>Improve</w:t>
            </w:r>
          </w:p>
        </w:tc>
        <w:tc>
          <w:tcPr>
            <w:tcW w:type="dxa" w:w="4896"/>
          </w:tcPr>
          <w:p>
            <w:r>
              <w:t>Reduce waste and defects; incorporate customer feedback</w:t>
            </w:r>
          </w:p>
        </w:tc>
      </w:tr>
      <w:tr>
        <w:tc>
          <w:tcPr>
            <w:tcW w:type="dxa" w:w="4896"/>
          </w:tcPr>
          <w:p>
            <w:r>
              <w:t>Scale</w:t>
            </w:r>
          </w:p>
        </w:tc>
        <w:tc>
          <w:tcPr>
            <w:tcW w:type="dxa" w:w="4896"/>
          </w:tcPr>
          <w:p>
            <w:r>
              <w:t>Expand capacity and repeatable B2B supply as demand justifies</w:t>
            </w:r>
          </w:p>
        </w:tc>
      </w:tr>
    </w:tbl>
    <w:p>
      <w:pPr>
        <w:pStyle w:val="Heading1"/>
      </w:pPr>
      <w:r>
        <w:t>10. Operating model</w:t>
      </w:r>
    </w:p>
    <w:p>
      <w:r>
        <w:t>Define processes for procurement, supplier qualification, inventory, scheduling, production, inspection, warehousing, dispatch, returns and complaints. Confirm whether production is owned, contract-manufactured or hybrid. Products for food-contact or healthcare applications require applicable testing and compliance before claims or sales.</w:t>
      </w:r>
    </w:p>
    <w:p>
      <w:pPr>
        <w:pStyle w:val="Heading1"/>
      </w:pPr>
      <w:r>
        <w:t>11. B2B sales and fulfilment process</w:t>
      </w:r>
    </w:p>
    <w:p>
      <w:r>
        <w:t>Customer enquiry → requirement qualification → specification and feasibility review → quotation → customer approval → production planning → manufacturing and quality inspection → dispatch and delivery → feedback and repeat order. Custom orders must have formal sign-off on artwork, specification, pricing, quantity and schedule.</w:t>
      </w:r>
    </w:p>
    <w:p>
      <w:pPr>
        <w:pStyle w:val="Heading1"/>
      </w:pPr>
      <w:r>
        <w:t>12. Digital business requirements</w:t>
      </w:r>
    </w:p>
    <w:p>
      <w:r>
        <w:t>The Simply Paper corporate website should present the business, showcase verified current products, distinguish future innovations, explain manufacturing capabilities and collect product-specific and general B2B enquiries. Sales ownership, lead routing, response expectations and data protection must be defined. Checkout and live inventory are not initial requirements.</w:t>
      </w:r>
    </w:p>
    <w:p>
      <w:pPr>
        <w:pStyle w:val="Heading1"/>
      </w:pPr>
      <w:r>
        <w:t>13. Stakeholders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Function</w:t>
            </w:r>
          </w:p>
        </w:tc>
        <w:tc>
          <w:tcPr>
            <w:tcW w:type="dxa" w:w="4896"/>
          </w:tcPr>
          <w:p>
            <w:r>
              <w:t>Accountability</w:t>
            </w:r>
          </w:p>
        </w:tc>
      </w:tr>
      <w:tr>
        <w:tc>
          <w:tcPr>
            <w:tcW w:type="dxa" w:w="4896"/>
          </w:tcPr>
          <w:p>
            <w:r>
              <w:t>Leadership</w:t>
            </w:r>
          </w:p>
        </w:tc>
        <w:tc>
          <w:tcPr>
            <w:tcW w:type="dxa" w:w="4896"/>
          </w:tcPr>
          <w:p>
            <w:r>
              <w:t>Strategy, investment and partnerships</w:t>
            </w:r>
          </w:p>
        </w:tc>
      </w:tr>
      <w:tr>
        <w:tc>
          <w:tcPr>
            <w:tcW w:type="dxa" w:w="4896"/>
          </w:tcPr>
          <w:p>
            <w:r>
              <w:t>Manufacturing</w:t>
            </w:r>
          </w:p>
        </w:tc>
        <w:tc>
          <w:tcPr>
            <w:tcW w:type="dxa" w:w="4896"/>
          </w:tcPr>
          <w:p>
            <w:r>
              <w:t>Production and capacity planning</w:t>
            </w:r>
          </w:p>
        </w:tc>
      </w:tr>
      <w:tr>
        <w:tc>
          <w:tcPr>
            <w:tcW w:type="dxa" w:w="4896"/>
          </w:tcPr>
          <w:p>
            <w:r>
              <w:t>Procurement</w:t>
            </w:r>
          </w:p>
        </w:tc>
        <w:tc>
          <w:tcPr>
            <w:tcW w:type="dxa" w:w="4896"/>
          </w:tcPr>
          <w:p>
            <w:r>
              <w:t>Supplier qualification and raw materials</w:t>
            </w:r>
          </w:p>
        </w:tc>
      </w:tr>
      <w:tr>
        <w:tc>
          <w:tcPr>
            <w:tcW w:type="dxa" w:w="4896"/>
          </w:tcPr>
          <w:p>
            <w:r>
              <w:t>Quality</w:t>
            </w:r>
          </w:p>
        </w:tc>
        <w:tc>
          <w:tcPr>
            <w:tcW w:type="dxa" w:w="4896"/>
          </w:tcPr>
          <w:p>
            <w:r>
              <w:t>Specifications, testing and inspection</w:t>
            </w:r>
          </w:p>
        </w:tc>
      </w:tr>
      <w:tr>
        <w:tc>
          <w:tcPr>
            <w:tcW w:type="dxa" w:w="4896"/>
          </w:tcPr>
          <w:p>
            <w:r>
              <w:t>Sales and marketing</w:t>
            </w:r>
          </w:p>
        </w:tc>
        <w:tc>
          <w:tcPr>
            <w:tcW w:type="dxa" w:w="4896"/>
          </w:tcPr>
          <w:p>
            <w:r>
              <w:t>Leads, quotations and customer accounts</w:t>
            </w:r>
          </w:p>
        </w:tc>
      </w:tr>
      <w:tr>
        <w:tc>
          <w:tcPr>
            <w:tcW w:type="dxa" w:w="4896"/>
          </w:tcPr>
          <w:p>
            <w:r>
              <w:t>Product development</w:t>
            </w:r>
          </w:p>
        </w:tc>
        <w:tc>
          <w:tcPr>
            <w:tcW w:type="dxa" w:w="4896"/>
          </w:tcPr>
          <w:p>
            <w:r>
              <w:t>Innovation feasibility and trials</w:t>
            </w:r>
          </w:p>
        </w:tc>
      </w:tr>
      <w:tr>
        <w:tc>
          <w:tcPr>
            <w:tcW w:type="dxa" w:w="4896"/>
          </w:tcPr>
          <w:p>
            <w:r>
              <w:t>Finance</w:t>
            </w:r>
          </w:p>
        </w:tc>
        <w:tc>
          <w:tcPr>
            <w:tcW w:type="dxa" w:w="4896"/>
          </w:tcPr>
          <w:p>
            <w:r>
              <w:t>Costing, credit and profitability</w:t>
            </w:r>
          </w:p>
        </w:tc>
      </w:tr>
      <w:tr>
        <w:tc>
          <w:tcPr>
            <w:tcW w:type="dxa" w:w="4896"/>
          </w:tcPr>
          <w:p>
            <w:r>
              <w:t>Logistics</w:t>
            </w:r>
          </w:p>
        </w:tc>
        <w:tc>
          <w:tcPr>
            <w:tcW w:type="dxa" w:w="4896"/>
          </w:tcPr>
          <w:p>
            <w:r>
              <w:t>Inventory, dispatch and delivery</w:t>
            </w:r>
          </w:p>
        </w:tc>
      </w:tr>
      <w:tr>
        <w:tc>
          <w:tcPr>
            <w:tcW w:type="dxa" w:w="4896"/>
          </w:tcPr>
          <w:p>
            <w:r>
              <w:t>Technology</w:t>
            </w:r>
          </w:p>
        </w:tc>
        <w:tc>
          <w:tcPr>
            <w:tcW w:type="dxa" w:w="4896"/>
          </w:tcPr>
          <w:p>
            <w:r>
              <w:t>Website, lead routing and reporting</w:t>
            </w:r>
          </w:p>
        </w:tc>
      </w:tr>
    </w:tbl>
    <w:p>
      <w:pPr>
        <w:pStyle w:val="Heading1"/>
      </w:pPr>
      <w:r>
        <w:t>14. Commercial and financial requirements</w:t>
      </w:r>
    </w:p>
    <w:p>
      <w:pPr>
        <w:pStyle w:val="ListBullet"/>
      </w:pPr>
      <w:r>
        <w:t>Build a financial model covering equipment, facilities, raw materials, labour, utilities, packaging, logistics, marketing, working capital and R&amp;D.</w:t>
      </w:r>
    </w:p>
    <w:p>
      <w:pPr>
        <w:pStyle w:val="ListBullet"/>
      </w:pPr>
      <w:r>
        <w:t>Track revenue, gross margin, contribution margin, capacity utilisation, acquisition cost, repeat orders and break-even.</w:t>
      </w:r>
    </w:p>
    <w:p>
      <w:pPr>
        <w:pStyle w:val="ListBullet"/>
      </w:pPr>
      <w:r>
        <w:t>Approve expansion using validated production costs, market demand and investment assumptions.</w:t>
      </w:r>
    </w:p>
    <w:p>
      <w:pPr>
        <w:pStyle w:val="Heading1"/>
      </w:pPr>
      <w:r>
        <w:t>15. Risks and controls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Risk</w:t>
            </w:r>
          </w:p>
        </w:tc>
        <w:tc>
          <w:tcPr>
            <w:tcW w:type="dxa" w:w="4896"/>
          </w:tcPr>
          <w:p>
            <w:r>
              <w:t>Proposed control</w:t>
            </w:r>
          </w:p>
        </w:tc>
      </w:tr>
      <w:tr>
        <w:tc>
          <w:tcPr>
            <w:tcW w:type="dxa" w:w="4896"/>
          </w:tcPr>
          <w:p>
            <w:r>
              <w:t>Raw material volatility</w:t>
            </w:r>
          </w:p>
        </w:tc>
        <w:tc>
          <w:tcPr>
            <w:tcW w:type="dxa" w:w="4896"/>
          </w:tcPr>
          <w:p>
            <w:r>
              <w:t>Multiple qualified suppliers and pricing reviews</w:t>
            </w:r>
          </w:p>
        </w:tc>
      </w:tr>
      <w:tr>
        <w:tc>
          <w:tcPr>
            <w:tcW w:type="dxa" w:w="4896"/>
          </w:tcPr>
          <w:p>
            <w:r>
              <w:t>Quality inconsistency</w:t>
            </w:r>
          </w:p>
        </w:tc>
        <w:tc>
          <w:tcPr>
            <w:tcW w:type="dxa" w:w="4896"/>
          </w:tcPr>
          <w:p>
            <w:r>
              <w:t>Approved specifications, inspection and corrective action</w:t>
            </w:r>
          </w:p>
        </w:tc>
      </w:tr>
      <w:tr>
        <w:tc>
          <w:tcPr>
            <w:tcW w:type="dxa" w:w="4896"/>
          </w:tcPr>
          <w:p>
            <w:r>
              <w:t>Production disruption</w:t>
            </w:r>
          </w:p>
        </w:tc>
        <w:tc>
          <w:tcPr>
            <w:tcW w:type="dxa" w:w="4896"/>
          </w:tcPr>
          <w:p>
            <w:r>
              <w:t>Capacity planning and preventive maintenance</w:t>
            </w:r>
          </w:p>
        </w:tc>
      </w:tr>
      <w:tr>
        <w:tc>
          <w:tcPr>
            <w:tcW w:type="dxa" w:w="4896"/>
          </w:tcPr>
          <w:p>
            <w:r>
              <w:t>Customer concentration</w:t>
            </w:r>
          </w:p>
        </w:tc>
        <w:tc>
          <w:tcPr>
            <w:tcW w:type="dxa" w:w="4896"/>
          </w:tcPr>
          <w:p>
            <w:r>
              <w:t>Diversify accounts, sectors and channels</w:t>
            </w:r>
          </w:p>
        </w:tc>
      </w:tr>
      <w:tr>
        <w:tc>
          <w:tcPr>
            <w:tcW w:type="dxa" w:w="4896"/>
          </w:tcPr>
          <w:p>
            <w:r>
              <w:t>Cash flow pressure</w:t>
            </w:r>
          </w:p>
        </w:tc>
        <w:tc>
          <w:tcPr>
            <w:tcW w:type="dxa" w:w="4896"/>
          </w:tcPr>
          <w:p>
            <w:r>
              <w:t>Credit limits and working-capital planning</w:t>
            </w:r>
          </w:p>
        </w:tc>
      </w:tr>
      <w:tr>
        <w:tc>
          <w:tcPr>
            <w:tcW w:type="dxa" w:w="4896"/>
          </w:tcPr>
          <w:p>
            <w:r>
              <w:t>Innovation delays</w:t>
            </w:r>
          </w:p>
        </w:tc>
        <w:tc>
          <w:tcPr>
            <w:tcW w:type="dxa" w:w="4896"/>
          </w:tcPr>
          <w:p>
            <w:r>
              <w:t>Stage gates, pilots and technical feasibility testing</w:t>
            </w:r>
          </w:p>
        </w:tc>
      </w:tr>
      <w:tr>
        <w:tc>
          <w:tcPr>
            <w:tcW w:type="dxa" w:w="4896"/>
          </w:tcPr>
          <w:p>
            <w:r>
              <w:t>Unverified sustainability claims</w:t>
            </w:r>
          </w:p>
        </w:tc>
        <w:tc>
          <w:tcPr>
            <w:tcW w:type="dxa" w:w="4896"/>
          </w:tcPr>
          <w:p>
            <w:r>
              <w:t>Testing and certification before publication</w:t>
            </w:r>
          </w:p>
        </w:tc>
      </w:tr>
      <w:tr>
        <w:tc>
          <w:tcPr>
            <w:tcW w:type="dxa" w:w="4896"/>
          </w:tcPr>
          <w:p>
            <w:r>
              <w:t>Supply chain disruption</w:t>
            </w:r>
          </w:p>
        </w:tc>
        <w:tc>
          <w:tcPr>
            <w:tcW w:type="dxa" w:w="4896"/>
          </w:tcPr>
          <w:p>
            <w:r>
              <w:t>Alternative sourcing and inventory buffers</w:t>
            </w:r>
          </w:p>
        </w:tc>
      </w:tr>
    </w:tbl>
    <w:p>
      <w:pPr>
        <w:pStyle w:val="Heading1"/>
      </w:pPr>
      <w:r>
        <w:t>16. Success measures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Area</w:t>
            </w:r>
          </w:p>
        </w:tc>
        <w:tc>
          <w:tcPr>
            <w:tcW w:type="dxa" w:w="4896"/>
          </w:tcPr>
          <w:p>
            <w:r>
              <w:t>KPIs</w:t>
            </w:r>
          </w:p>
        </w:tc>
      </w:tr>
      <w:tr>
        <w:tc>
          <w:tcPr>
            <w:tcW w:type="dxa" w:w="4896"/>
          </w:tcPr>
          <w:p>
            <w:r>
              <w:t>Commercial</w:t>
            </w:r>
          </w:p>
        </w:tc>
        <w:tc>
          <w:tcPr>
            <w:tcW w:type="dxa" w:w="4896"/>
          </w:tcPr>
          <w:p>
            <w:r>
              <w:t>Revenue, margin, new customers and repeat orders</w:t>
            </w:r>
          </w:p>
        </w:tc>
      </w:tr>
      <w:tr>
        <w:tc>
          <w:tcPr>
            <w:tcW w:type="dxa" w:w="4896"/>
          </w:tcPr>
          <w:p>
            <w:r>
              <w:t>Manufacturing</w:t>
            </w:r>
          </w:p>
        </w:tc>
        <w:tc>
          <w:tcPr>
            <w:tcW w:type="dxa" w:w="4896"/>
          </w:tcPr>
          <w:p>
            <w:r>
              <w:t>Output, utilisation, defects and rework</w:t>
            </w:r>
          </w:p>
        </w:tc>
      </w:tr>
      <w:tr>
        <w:tc>
          <w:tcPr>
            <w:tcW w:type="dxa" w:w="4896"/>
          </w:tcPr>
          <w:p>
            <w:r>
              <w:t>Supply chain</w:t>
            </w:r>
          </w:p>
        </w:tc>
        <w:tc>
          <w:tcPr>
            <w:tcW w:type="dxa" w:w="4896"/>
          </w:tcPr>
          <w:p>
            <w:r>
              <w:t>Procurement cost, stock availability and on-time delivery</w:t>
            </w:r>
          </w:p>
        </w:tc>
      </w:tr>
      <w:tr>
        <w:tc>
          <w:tcPr>
            <w:tcW w:type="dxa" w:w="4896"/>
          </w:tcPr>
          <w:p>
            <w:r>
              <w:t>Digital</w:t>
            </w:r>
          </w:p>
        </w:tc>
        <w:tc>
          <w:tcPr>
            <w:tcW w:type="dxa" w:w="4896"/>
          </w:tcPr>
          <w:p>
            <w:r>
              <w:t>Qualified enquiries, conversion and response time</w:t>
            </w:r>
          </w:p>
        </w:tc>
      </w:tr>
      <w:tr>
        <w:tc>
          <w:tcPr>
            <w:tcW w:type="dxa" w:w="4896"/>
          </w:tcPr>
          <w:p>
            <w:r>
              <w:t>Innovation</w:t>
            </w:r>
          </w:p>
        </w:tc>
        <w:tc>
          <w:tcPr>
            <w:tcW w:type="dxa" w:w="4896"/>
          </w:tcPr>
          <w:p>
            <w:r>
              <w:t>Validated prototypes, trials and commercial launches</w:t>
            </w:r>
          </w:p>
        </w:tc>
      </w:tr>
      <w:tr>
        <w:tc>
          <w:tcPr>
            <w:tcW w:type="dxa" w:w="4896"/>
          </w:tcPr>
          <w:p>
            <w:r>
              <w:t>Customer</w:t>
            </w:r>
          </w:p>
        </w:tc>
        <w:tc>
          <w:tcPr>
            <w:tcW w:type="dxa" w:w="4896"/>
          </w:tcPr>
          <w:p>
            <w:r>
              <w:t>Retention, complaints and fulfilment</w:t>
            </w:r>
          </w:p>
        </w:tc>
      </w:tr>
    </w:tbl>
    <w:p>
      <w:r>
        <w:t>Leadership should approve numeric targets once baseline operations and investment plans are confirmed.</w:t>
      </w:r>
    </w:p>
    <w:p>
      <w:pPr>
        <w:pStyle w:val="Heading1"/>
      </w:pPr>
      <w:r>
        <w:t>17. Implementation roadmap</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Phase</w:t>
            </w:r>
          </w:p>
        </w:tc>
        <w:tc>
          <w:tcPr>
            <w:tcW w:type="dxa" w:w="4896"/>
          </w:tcPr>
          <w:p>
            <w:r>
              <w:t>Milestone</w:t>
            </w:r>
          </w:p>
        </w:tc>
      </w:tr>
      <w:tr>
        <w:tc>
          <w:tcPr>
            <w:tcW w:type="dxa" w:w="4896"/>
          </w:tcPr>
          <w:p>
            <w:r>
              <w:t>1 — Foundation</w:t>
            </w:r>
          </w:p>
        </w:tc>
        <w:tc>
          <w:tcPr>
            <w:tcW w:type="dxa" w:w="4896"/>
          </w:tcPr>
          <w:p>
            <w:r>
              <w:t>Brand, specifications, suppliers, manufacturing model and costing</w:t>
            </w:r>
          </w:p>
        </w:tc>
      </w:tr>
      <w:tr>
        <w:tc>
          <w:tcPr>
            <w:tcW w:type="dxa" w:w="4896"/>
          </w:tcPr>
          <w:p>
            <w:r>
              <w:t>2 — Market entry</w:t>
            </w:r>
          </w:p>
        </w:tc>
        <w:tc>
          <w:tcPr>
            <w:tcW w:type="dxa" w:w="4896"/>
          </w:tcPr>
          <w:p>
            <w:r>
              <w:t>Website, catalogue, sales process and outreach</w:t>
            </w:r>
          </w:p>
        </w:tc>
      </w:tr>
      <w:tr>
        <w:tc>
          <w:tcPr>
            <w:tcW w:type="dxa" w:w="4896"/>
          </w:tcPr>
          <w:p>
            <w:r>
              <w:t>3 — Operational growth</w:t>
            </w:r>
          </w:p>
        </w:tc>
        <w:tc>
          <w:tcPr>
            <w:tcW w:type="dxa" w:w="4896"/>
          </w:tcPr>
          <w:p>
            <w:r>
              <w:t>Stable production, quality and distribution</w:t>
            </w:r>
          </w:p>
        </w:tc>
      </w:tr>
      <w:tr>
        <w:tc>
          <w:tcPr>
            <w:tcW w:type="dxa" w:w="4896"/>
          </w:tcPr>
          <w:p>
            <w:r>
              <w:t>4 — Portfolio expansion</w:t>
            </w:r>
          </w:p>
        </w:tc>
        <w:tc>
          <w:tcPr>
            <w:tcW w:type="dxa" w:w="4896"/>
          </w:tcPr>
          <w:p>
            <w:r>
              <w:t>Variants, customisation and private-label contracts</w:t>
            </w:r>
          </w:p>
        </w:tc>
      </w:tr>
      <w:tr>
        <w:tc>
          <w:tcPr>
            <w:tcW w:type="dxa" w:w="4896"/>
          </w:tcPr>
          <w:p>
            <w:r>
              <w:t>5 — Innovation</w:t>
            </w:r>
          </w:p>
        </w:tc>
        <w:tc>
          <w:tcPr>
            <w:tcW w:type="dxa" w:w="4896"/>
          </w:tcPr>
          <w:p>
            <w:r>
              <w:t>Feasibility, prototypes, testing and pilot production</w:t>
            </w:r>
          </w:p>
        </w:tc>
      </w:tr>
      <w:tr>
        <w:tc>
          <w:tcPr>
            <w:tcW w:type="dxa" w:w="4896"/>
          </w:tcPr>
          <w:p>
            <w:r>
              <w:t>6 — Scale</w:t>
            </w:r>
          </w:p>
        </w:tc>
        <w:tc>
          <w:tcPr>
            <w:tcW w:type="dxa" w:w="4896"/>
          </w:tcPr>
          <w:p>
            <w:r>
              <w:t>Expanded capacity, institutional accounts and new markets</w:t>
            </w:r>
          </w:p>
        </w:tc>
      </w:tr>
    </w:tbl>
    <w:p>
      <w:pPr>
        <w:pStyle w:val="Heading1"/>
      </w:pPr>
      <w:r>
        <w:t>18. Assumptions and decisions</w:t>
      </w:r>
    </w:p>
    <w:p>
      <w:pPr>
        <w:pStyle w:val="ListBullet"/>
      </w:pPr>
      <w:r>
        <w:t>Confirm owned versus contract manufacturing, factory location and production capacity.</w:t>
      </w:r>
    </w:p>
    <w:p>
      <w:pPr>
        <w:pStyle w:val="ListBullet"/>
      </w:pPr>
      <w:r>
        <w:t>Finalise initial variants, MOQ, pricing and target territories.</w:t>
      </w:r>
    </w:p>
    <w:p>
      <w:pPr>
        <w:pStyle w:val="ListBullet"/>
      </w:pPr>
      <w:r>
        <w:t>Approve investment and working-capital budgets.</w:t>
      </w:r>
    </w:p>
    <w:p>
      <w:pPr>
        <w:pStyle w:val="ListBullet"/>
      </w:pPr>
      <w:r>
        <w:t>Determine applicable regulatory requirements and certifications.</w:t>
      </w:r>
    </w:p>
    <w:p>
      <w:pPr>
        <w:pStyle w:val="ListBullet"/>
      </w:pPr>
      <w:r>
        <w:t>Assign owners for sales, quality, operations and innovation.</w:t>
      </w:r>
    </w:p>
    <w:p>
      <w:pPr>
        <w:pStyle w:val="ListBullet"/>
      </w:pPr>
      <w:r>
        <w:t>Validate market demand and launch readiness before capital commitments.</w:t>
      </w:r>
    </w:p>
    <w:p>
      <w:pPr>
        <w:pStyle w:val="Heading1"/>
      </w:pPr>
      <w:r>
        <w:t>19. Business acceptance criteria</w:t>
      </w:r>
    </w:p>
    <w:p>
      <w:pPr>
        <w:pStyle w:val="ListBullet"/>
      </w:pPr>
      <w:r>
        <w:t>Core products have approved specifications, sourcing, production arrangements and commercial pricing.</w:t>
      </w:r>
    </w:p>
    <w:p>
      <w:pPr>
        <w:pStyle w:val="ListBullet"/>
      </w:pPr>
      <w:r>
        <w:t>Quality, quotation, order fulfilment and customer complaint processes are documented.</w:t>
      </w:r>
    </w:p>
    <w:p>
      <w:pPr>
        <w:pStyle w:val="ListBullet"/>
      </w:pPr>
      <w:r>
        <w:t>Sales can receive and process B2B enquiries through working channels.</w:t>
      </w:r>
    </w:p>
    <w:p>
      <w:pPr>
        <w:pStyle w:val="ListBullet"/>
      </w:pPr>
      <w:r>
        <w:t>Published claims and innovation status are accurate and approved.</w:t>
      </w:r>
    </w:p>
    <w:p>
      <w:pPr>
        <w:pStyle w:val="ListBullet"/>
      </w:pPr>
      <w:r>
        <w:t>Material innovation products receive separate technical, regulatory and commercial launch approval.</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SIMPLY PAPER  •  Confidential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E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E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4E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