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312"/>
        <w:jc w:val="center"/>
      </w:pPr>
      <w:r>
        <w:rPr>
          <w:rFonts w:ascii="Times New Roman" w:cs="Times New Roman" w:eastAsia="Times New Roman" w:hAnsi="Times New Roman"/>
          <w:sz w:val="24"/>
          <w:szCs w:val="24"/>
        </w:rPr>
        <w:t xml:space="preserve"/>
      </w:r>
    </w:p>
    <w:p>
      <w:pPr>
        <w:spacing w:after="160" w:before="0" w:line="312"/>
        <w:jc w:val="center"/>
      </w:pPr>
      <w:r>
        <w:rPr>
          <w:rFonts w:ascii="Times New Roman" w:cs="Times New Roman" w:eastAsia="Times New Roman" w:hAnsi="Times New Roman"/>
          <w:b/>
          <w:bCs/>
          <w:sz w:val="28"/>
          <w:szCs w:val="28"/>
        </w:rPr>
        <w:t xml:space="preserve">A</w:t>
      </w:r>
    </w:p>
    <w:p>
      <w:pPr>
        <w:spacing w:after="200" w:before="0" w:line="312"/>
        <w:jc w:val="center"/>
      </w:pPr>
      <w:r>
        <w:rPr>
          <w:rFonts w:ascii="Times New Roman" w:cs="Times New Roman" w:eastAsia="Times New Roman" w:hAnsi="Times New Roman"/>
          <w:b/>
          <w:bCs/>
          <w:sz w:val="28"/>
          <w:szCs w:val="28"/>
        </w:rPr>
        <w:t xml:space="preserve">Project Report on</w:t>
      </w:r>
    </w:p>
    <w:p>
      <w:pPr>
        <w:spacing w:after="160" w:before="0" w:line="340"/>
        <w:jc w:val="center"/>
      </w:pPr>
      <w:r>
        <w:rPr>
          <w:rFonts w:ascii="Times New Roman" w:cs="Times New Roman" w:eastAsia="Times New Roman" w:hAnsi="Times New Roman"/>
          <w:b/>
          <w:bCs/>
          <w:sz w:val="48"/>
          <w:szCs w:val="48"/>
        </w:rPr>
        <w:t xml:space="preserve">FlowPilot AI Automation Dashboard</w:t>
      </w:r>
    </w:p>
    <w:p>
      <w:pPr>
        <w:spacing w:after="300" w:before="0" w:line="312"/>
        <w:jc w:val="center"/>
      </w:pPr>
      <w:r>
        <w:rPr>
          <w:rFonts w:ascii="Times New Roman" w:cs="Times New Roman" w:eastAsia="Times New Roman" w:hAnsi="Times New Roman"/>
          <w:i/>
          <w:iCs/>
          <w:sz w:val="26"/>
          <w:szCs w:val="26"/>
        </w:rPr>
        <w:t xml:space="preserve">AI-Powered Workflow Automation</w:t>
      </w:r>
    </w:p>
    <w:p>
      <w:pPr>
        <w:spacing w:after="120" w:before="0" w:line="312"/>
        <w:jc w:val="center"/>
      </w:pPr>
      <w:r>
        <w:rPr>
          <w:rFonts w:ascii="Times New Roman" w:cs="Times New Roman" w:eastAsia="Times New Roman" w:hAnsi="Times New Roman"/>
          <w:b/>
          <w:bCs/>
          <w:sz w:val="26"/>
          <w:szCs w:val="26"/>
        </w:rPr>
        <w:t xml:space="preserve">In Partial Fulfillment of</w:t>
      </w:r>
    </w:p>
    <w:p>
      <w:pPr>
        <w:spacing w:after="300" w:before="0" w:line="312"/>
        <w:jc w:val="center"/>
      </w:pPr>
      <w:r>
        <w:rPr>
          <w:rFonts w:ascii="Times New Roman" w:cs="Times New Roman" w:eastAsia="Times New Roman" w:hAnsi="Times New Roman"/>
          <w:b/>
          <w:bCs/>
          <w:sz w:val="26"/>
          <w:szCs w:val="26"/>
        </w:rPr>
        <w:t xml:space="preserve">Bachelor of Computer Applications (BCA)</w:t>
      </w:r>
    </w:p>
    <w:p>
      <w:pPr>
        <w:spacing w:after="160" w:before="120"/>
        <w:jc w:val="center"/>
      </w:pPr>
      <w:r>
        <w:drawing>
          <wp:inline distT="0" distB="0" distL="0" distR="0">
            <wp:extent cx="1428750" cy="1447800"/>
            <wp:effectExtent t="0" r="0" b="0" l="0"/>
            <wp:docPr id="1" name="logo_gtu"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447800"/>
                    </a:xfrm>
                    <a:prstGeom prst="rect">
                      <a:avLst/>
                    </a:prstGeom>
                  </pic:spPr>
                </pic:pic>
              </a:graphicData>
            </a:graphic>
          </wp:inline>
        </w:drawing>
      </w:r>
    </w:p>
    <w:p>
      <w:pPr>
        <w:spacing w:after="120" w:before="240" w:line="312"/>
        <w:jc w:val="center"/>
      </w:pPr>
      <w:r>
        <w:rPr>
          <w:rFonts w:ascii="Times New Roman" w:cs="Times New Roman" w:eastAsia="Times New Roman" w:hAnsi="Times New Roman"/>
          <w:b/>
          <w:bCs/>
          <w:sz w:val="28"/>
          <w:szCs w:val="28"/>
        </w:rPr>
        <w:t xml:space="preserve">Developed By</w:t>
      </w:r>
    </w:p>
    <w:p>
      <w:pPr>
        <w:spacing w:after="60" w:before="0" w:line="312"/>
        <w:jc w:val="center"/>
      </w:pPr>
      <w:r>
        <w:rPr>
          <w:rFonts w:ascii="Times New Roman" w:cs="Times New Roman" w:eastAsia="Times New Roman" w:hAnsi="Times New Roman"/>
          <w:b/>
          <w:bCs/>
          <w:sz w:val="26"/>
          <w:szCs w:val="26"/>
        </w:rPr>
        <w:t xml:space="preserve">Pal Anshu J. (3053)</w:t>
      </w:r>
    </w:p>
    <w:p>
      <w:pPr>
        <w:spacing w:after="60" w:before="0" w:line="312"/>
        <w:jc w:val="center"/>
      </w:pPr>
      <w:r>
        <w:rPr>
          <w:rFonts w:ascii="Times New Roman" w:cs="Times New Roman" w:eastAsia="Times New Roman" w:hAnsi="Times New Roman"/>
          <w:b/>
          <w:bCs/>
          <w:sz w:val="26"/>
          <w:szCs w:val="26"/>
        </w:rPr>
        <w:t xml:space="preserve">Darbar Manthan H. (3021)</w:t>
      </w:r>
    </w:p>
    <w:p>
      <w:pPr>
        <w:spacing w:after="60" w:before="0" w:line="312"/>
        <w:jc w:val="center"/>
      </w:pPr>
      <w:r>
        <w:rPr>
          <w:rFonts w:ascii="Times New Roman" w:cs="Times New Roman" w:eastAsia="Times New Roman" w:hAnsi="Times New Roman"/>
          <w:b/>
          <w:bCs/>
          <w:sz w:val="26"/>
          <w:szCs w:val="26"/>
        </w:rPr>
        <w:t xml:space="preserve">Trivedi Sujal A. (3122)</w:t>
      </w:r>
    </w:p>
    <w:p>
      <w:pPr>
        <w:spacing w:after="120" w:before="120" w:line="312"/>
        <w:jc w:val="center"/>
      </w:pPr>
      <w:r>
        <w:rPr>
          <w:rFonts w:ascii="Times New Roman" w:cs="Times New Roman" w:eastAsia="Times New Roman" w:hAnsi="Times New Roman"/>
          <w:b/>
          <w:bCs/>
          <w:sz w:val="24"/>
          <w:szCs w:val="24"/>
        </w:rPr>
        <w:t xml:space="preserve">(Sem – V Bachelor of Computer Applications)</w:t>
      </w:r>
    </w:p>
    <w:p>
      <w:pPr>
        <w:pageBreakBefore/>
        <w:spacing w:after="500" w:before="0" w:line="312"/>
        <w:jc w:val="center"/>
      </w:pPr>
      <w:r>
        <w:rPr>
          <w:rFonts w:ascii="Times New Roman" w:cs="Times New Roman" w:eastAsia="Times New Roman" w:hAnsi="Times New Roman"/>
          <w:sz w:val="24"/>
          <w:szCs w:val="24"/>
        </w:rPr>
        <w:t xml:space="preserve"/>
      </w:r>
    </w:p>
    <w:p>
      <w:pPr>
        <w:spacing w:after="120" w:before="0" w:line="312"/>
        <w:jc w:val="center"/>
      </w:pPr>
      <w:r>
        <w:rPr>
          <w:rFonts w:ascii="Times New Roman" w:cs="Times New Roman" w:eastAsia="Times New Roman" w:hAnsi="Times New Roman"/>
          <w:b/>
          <w:bCs/>
          <w:sz w:val="30"/>
          <w:szCs w:val="30"/>
        </w:rPr>
        <w:t xml:space="preserve">A Project Report</w:t>
      </w:r>
    </w:p>
    <w:p>
      <w:pPr>
        <w:spacing w:after="120" w:before="0" w:line="312"/>
        <w:jc w:val="center"/>
      </w:pPr>
      <w:r>
        <w:rPr>
          <w:rFonts w:ascii="Times New Roman" w:cs="Times New Roman" w:eastAsia="Times New Roman" w:hAnsi="Times New Roman"/>
          <w:b/>
          <w:bCs/>
          <w:sz w:val="26"/>
          <w:szCs w:val="26"/>
        </w:rPr>
        <w:t xml:space="preserve">On</w:t>
      </w:r>
    </w:p>
    <w:p>
      <w:pPr>
        <w:spacing w:after="400" w:before="0" w:line="312"/>
        <w:jc w:val="center"/>
      </w:pPr>
      <w:r>
        <w:rPr>
          <w:rFonts w:ascii="Times New Roman" w:cs="Times New Roman" w:eastAsia="Times New Roman" w:hAnsi="Times New Roman"/>
          <w:b/>
          <w:bCs/>
          <w:sz w:val="34"/>
          <w:szCs w:val="34"/>
        </w:rPr>
        <w:t xml:space="preserve">“FlowPilot AI Automation Dashboard”</w:t>
      </w:r>
    </w:p>
    <w:p>
      <w:pPr>
        <w:spacing w:after="80" w:before="0" w:line="312"/>
        <w:jc w:val="center"/>
      </w:pPr>
      <w:r>
        <w:rPr>
          <w:rFonts w:ascii="Times New Roman" w:cs="Times New Roman" w:eastAsia="Times New Roman" w:hAnsi="Times New Roman"/>
          <w:sz w:val="24"/>
          <w:szCs w:val="24"/>
        </w:rPr>
        <w:t xml:space="preserve">Submitted to</w:t>
      </w:r>
    </w:p>
    <w:p>
      <w:pPr>
        <w:spacing w:after="80" w:before="0" w:line="312"/>
        <w:jc w:val="center"/>
      </w:pPr>
      <w:r>
        <w:rPr>
          <w:rFonts w:ascii="Times New Roman" w:cs="Times New Roman" w:eastAsia="Times New Roman" w:hAnsi="Times New Roman"/>
          <w:sz w:val="24"/>
          <w:szCs w:val="24"/>
        </w:rPr>
        <w:t xml:space="preserve">Faculty of</w:t>
      </w:r>
    </w:p>
    <w:p>
      <w:pPr>
        <w:spacing w:after="80" w:before="0" w:line="312"/>
        <w:jc w:val="center"/>
      </w:pPr>
      <w:r>
        <w:rPr>
          <w:rFonts w:ascii="Times New Roman" w:cs="Times New Roman" w:eastAsia="Times New Roman" w:hAnsi="Times New Roman"/>
          <w:sz w:val="24"/>
          <w:szCs w:val="24"/>
        </w:rPr>
        <w:t xml:space="preserve">Bachelor of Computer Applications</w:t>
      </w:r>
    </w:p>
    <w:p>
      <w:pPr>
        <w:spacing w:after="80" w:before="0" w:line="312"/>
        <w:jc w:val="center"/>
      </w:pPr>
      <w:r>
        <w:rPr>
          <w:rFonts w:ascii="Times New Roman" w:cs="Times New Roman" w:eastAsia="Times New Roman" w:hAnsi="Times New Roman"/>
          <w:sz w:val="24"/>
          <w:szCs w:val="24"/>
        </w:rPr>
        <w:t xml:space="preserve">In partial fulfilment of the requirements for the degree of</w:t>
      </w:r>
    </w:p>
    <w:p>
      <w:pPr>
        <w:spacing w:after="80" w:before="0" w:line="312"/>
        <w:jc w:val="center"/>
      </w:pPr>
      <w:r>
        <w:rPr>
          <w:rFonts w:ascii="Times New Roman" w:cs="Times New Roman" w:eastAsia="Times New Roman" w:hAnsi="Times New Roman"/>
          <w:sz w:val="24"/>
          <w:szCs w:val="24"/>
        </w:rPr>
        <w:t xml:space="preserve">Bachelor of Computer Applications (BCA)</w:t>
      </w:r>
    </w:p>
    <w:p>
      <w:pPr>
        <w:spacing w:after="160" w:before="120"/>
        <w:jc w:val="center"/>
      </w:pPr>
      <w:r>
        <w:drawing>
          <wp:inline distT="0" distB="0" distL="0" distR="0">
            <wp:extent cx="2190750" cy="762000"/>
            <wp:effectExtent t="0" r="0" b="0" l="0"/>
            <wp:docPr id="1" name="logo_apim"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762000"/>
                    </a:xfrm>
                    <a:prstGeom prst="rect">
                      <a:avLst/>
                    </a:prstGeom>
                  </pic:spPr>
                </pic:pic>
              </a:graphicData>
            </a:graphic>
          </wp:inline>
        </w:drawing>
      </w:r>
    </w:p>
    <w:p>
      <w:pPr>
        <w:spacing w:after="80" w:before="200" w:line="312"/>
        <w:jc w:val="center"/>
      </w:pPr>
      <w:r>
        <w:rPr>
          <w:rFonts w:ascii="Times New Roman" w:cs="Times New Roman" w:eastAsia="Times New Roman" w:hAnsi="Times New Roman"/>
          <w:b/>
          <w:bCs/>
          <w:sz w:val="26"/>
          <w:szCs w:val="26"/>
        </w:rPr>
        <w:t xml:space="preserve">Under the guidance of</w:t>
      </w:r>
    </w:p>
    <w:p>
      <w:pPr>
        <w:spacing w:after="240" w:before="0" w:line="312"/>
        <w:jc w:val="center"/>
      </w:pPr>
      <w:r>
        <w:rPr>
          <w:rFonts w:ascii="Times New Roman" w:cs="Times New Roman" w:eastAsia="Times New Roman" w:hAnsi="Times New Roman"/>
          <w:sz w:val="26"/>
          <w:szCs w:val="26"/>
        </w:rPr>
        <w:t xml:space="preserve">Prof. Trupti Thakkar</w:t>
      </w:r>
    </w:p>
    <w:p>
      <w:pPr>
        <w:spacing w:after="80" w:before="0" w:line="312"/>
        <w:jc w:val="center"/>
      </w:pPr>
      <w:r>
        <w:rPr>
          <w:rFonts w:ascii="Times New Roman" w:cs="Times New Roman" w:eastAsia="Times New Roman" w:hAnsi="Times New Roman"/>
          <w:sz w:val="24"/>
          <w:szCs w:val="24"/>
        </w:rPr>
        <w:t xml:space="preserve">Submitted by:</w:t>
      </w:r>
    </w:p>
    <w:p>
      <w:pPr>
        <w:spacing w:after="240" w:before="0" w:line="312"/>
        <w:jc w:val="center"/>
      </w:pPr>
      <w:r>
        <w:rPr>
          <w:rFonts w:ascii="Times New Roman" w:cs="Times New Roman" w:eastAsia="Times New Roman" w:hAnsi="Times New Roman"/>
          <w:sz w:val="24"/>
          <w:szCs w:val="24"/>
        </w:rPr>
        <w:t xml:space="preserve">Anshu (3053)  |  Manthan (3021)  |  Sujal (3122)</w:t>
      </w:r>
    </w:p>
    <w:p>
      <w:pPr>
        <w:spacing w:after="80" w:before="0" w:line="312"/>
        <w:jc w:val="center"/>
      </w:pPr>
      <w:r>
        <w:rPr>
          <w:rFonts w:ascii="Times New Roman" w:cs="Times New Roman" w:eastAsia="Times New Roman" w:hAnsi="Times New Roman"/>
          <w:b/>
          <w:bCs/>
          <w:sz w:val="26"/>
          <w:szCs w:val="26"/>
        </w:rPr>
        <w:t xml:space="preserve">Asia Pacific Institute of Management, Ahmedabad</w:t>
      </w:r>
    </w:p>
    <w:p>
      <w:pPr>
        <w:spacing w:after="120" w:before="0" w:line="312"/>
        <w:jc w:val="center"/>
      </w:pPr>
      <w:r>
        <w:rPr>
          <w:rFonts w:ascii="Times New Roman" w:cs="Times New Roman" w:eastAsia="Times New Roman" w:hAnsi="Times New Roman"/>
          <w:color w:val="555555"/>
          <w:sz w:val="21"/>
          <w:szCs w:val="21"/>
        </w:rPr>
        <w:t xml:space="preserve">Project Organization: Vibrant Technology</w:t>
      </w:r>
    </w:p>
    <w:p>
      <w:pPr>
        <w:pageBreakBefore/>
        <w:spacing w:after="80" w:before="200" w:line="312"/>
        <w:jc w:val="center"/>
      </w:pPr>
      <w:r>
        <w:rPr>
          <w:rFonts w:ascii="Times New Roman" w:cs="Times New Roman" w:eastAsia="Times New Roman" w:hAnsi="Times New Roman"/>
          <w:b/>
          <w:bCs/>
          <w:sz w:val="30"/>
          <w:szCs w:val="30"/>
        </w:rPr>
        <w:t xml:space="preserve">ASIA PACIFIC INSTITUTE OF MANAGEMENT</w:t>
      </w:r>
    </w:p>
    <w:p>
      <w:pPr>
        <w:spacing w:after="120" w:before="0" w:line="312"/>
        <w:jc w:val="center"/>
      </w:pPr>
      <w:r>
        <w:rPr>
          <w:rFonts w:ascii="Times New Roman" w:cs="Times New Roman" w:eastAsia="Times New Roman" w:hAnsi="Times New Roman"/>
          <w:b/>
          <w:bCs/>
          <w:sz w:val="26"/>
          <w:szCs w:val="26"/>
        </w:rPr>
        <w:t xml:space="preserve">Project Certificate</w:t>
      </w:r>
    </w:p>
    <w:p>
      <w:pPr>
        <w:spacing w:after="160" w:before="120"/>
        <w:jc w:val="center"/>
      </w:pPr>
      <w:r>
        <w:drawing>
          <wp:inline distT="0" distB="0" distL="0" distR="0">
            <wp:extent cx="2190750" cy="762000"/>
            <wp:effectExtent t="0" r="0" b="0" l="0"/>
            <wp:docPr id="1" name="logo_apim"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762000"/>
                    </a:xfrm>
                    <a:prstGeom prst="rect">
                      <a:avLst/>
                    </a:prstGeom>
                  </pic:spPr>
                </pic:pic>
              </a:graphicData>
            </a:graphic>
          </wp:inline>
        </w:drawing>
      </w:r>
    </w:p>
    <w:p>
      <w:pPr>
        <w:spacing w:after="160" w:before="200" w:line="340"/>
        <w:jc w:val="both"/>
      </w:pPr>
      <w:r>
        <w:rPr>
          <w:rFonts w:ascii="Times New Roman" w:cs="Times New Roman" w:eastAsia="Times New Roman" w:hAnsi="Times New Roman"/>
          <w:sz w:val="22"/>
          <w:szCs w:val="22"/>
        </w:rPr>
        <w:t xml:space="preserve">This is to certify that the project entitled “FlowPilot AI Automation Dashboard” has been carried out by Anshu (3053), Manthan (3021) and Sujal (3122), students of Semester V, Bachelor of Computer Applications (BCA), at Asia Pacific Institute of Management, Ahmedabad, in partial fulfilment of the requirements for the degree.</w:t>
      </w:r>
    </w:p>
    <w:p>
      <w:pPr>
        <w:spacing w:after="300" w:before="0" w:line="340"/>
        <w:jc w:val="both"/>
      </w:pPr>
      <w:r>
        <w:rPr>
          <w:rFonts w:ascii="Times New Roman" w:cs="Times New Roman" w:eastAsia="Times New Roman" w:hAnsi="Times New Roman"/>
          <w:sz w:val="22"/>
          <w:szCs w:val="22"/>
        </w:rPr>
        <w:t xml:space="preserve">The project work was carried out under the guidance of Prof. Trupti Thakkar.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rPr>
        <w:tc>
          <w:tcPr>
            <w:tcW w:type="dxa" w:w="4653"/>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color w:val="FFFFFF"/>
                <w:sz w:val="21"/>
                <w:szCs w:val="21"/>
              </w:rPr>
              <w:t xml:space="preserve">Project Guide</w:t>
            </w:r>
          </w:p>
        </w:tc>
        <w:tc>
          <w:tcPr>
            <w:tcW w:type="dxa" w:w="4653"/>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color w:val="FFFFFF"/>
                <w:sz w:val="21"/>
                <w:szCs w:val="21"/>
              </w:rPr>
              <w:t xml:space="preserve">Head / Authorized Signatory</w:t>
            </w:r>
          </w:p>
        </w:tc>
      </w:tr>
      <w:tr>
        <w:tc>
          <w:tcPr>
            <w:tcW w:type="dxa" w:w="4653"/>
            <w:tcBorders>
              <w:top w:val="single" w:color="8EA9C1" w:sz="4"/>
              <w:left w:val="single" w:color="8EA9C1" w:sz="4"/>
              <w:bottom w:val="single" w:color="8EA9C1" w:sz="4"/>
              <w:right w:val="single" w:color="8EA9C1" w:sz="4"/>
            </w:tcBorders>
            <w:tcMar>
              <w:top w:type="dxa" w:w="100"/>
              <w:left w:type="dxa" w:w="100"/>
              <w:bottom w:type="dxa" w:w="100"/>
              <w:right w:type="dxa" w:w="100"/>
            </w:tcMar>
          </w:tcPr>
          <w:p>
            <w:pPr>
              <w:spacing w:after="160" w:before="80"/>
            </w:pPr>
            <w:r>
              <w:rPr>
                <w:rFonts w:ascii="Times New Roman" w:cs="Times New Roman" w:eastAsia="Times New Roman" w:hAnsi="Times New Roman"/>
                <w:sz w:val="21"/>
                <w:szCs w:val="21"/>
              </w:rPr>
              <w:t xml:space="preserve">Name: Prof. Trupti Thakkar</w:t>
            </w:r>
          </w:p>
          <w:p>
            <w:pPr>
              <w:spacing w:after="160" w:before="80"/>
            </w:pPr>
            <w:r>
              <w:rPr>
                <w:rFonts w:ascii="Times New Roman" w:cs="Times New Roman" w:eastAsia="Times New Roman" w:hAnsi="Times New Roman"/>
                <w:sz w:val="21"/>
                <w:szCs w:val="21"/>
              </w:rPr>
              <w:t xml:space="preserve">Signature: ____________________</w:t>
            </w:r>
          </w:p>
          <w:p>
            <w:pPr>
              <w:spacing w:after="160" w:before="80"/>
            </w:pPr>
            <w:r>
              <w:rPr>
                <w:rFonts w:ascii="Times New Roman" w:cs="Times New Roman" w:eastAsia="Times New Roman" w:hAnsi="Times New Roman"/>
                <w:sz w:val="21"/>
                <w:szCs w:val="21"/>
              </w:rPr>
              <w:t xml:space="preserve">Date: ____________________</w:t>
            </w:r>
          </w:p>
        </w:tc>
        <w:tc>
          <w:tcPr>
            <w:tcW w:type="dxa" w:w="4653"/>
            <w:tcBorders>
              <w:top w:val="single" w:color="8EA9C1" w:sz="4"/>
              <w:left w:val="single" w:color="8EA9C1" w:sz="4"/>
              <w:bottom w:val="single" w:color="8EA9C1" w:sz="4"/>
              <w:right w:val="single" w:color="8EA9C1" w:sz="4"/>
            </w:tcBorders>
            <w:tcMar>
              <w:top w:type="dxa" w:w="100"/>
              <w:left w:type="dxa" w:w="100"/>
              <w:bottom w:type="dxa" w:w="100"/>
              <w:right w:type="dxa" w:w="100"/>
            </w:tcMar>
          </w:tcPr>
          <w:p>
            <w:pPr>
              <w:spacing w:after="160" w:before="80"/>
            </w:pPr>
            <w:r>
              <w:rPr>
                <w:rFonts w:ascii="Times New Roman" w:cs="Times New Roman" w:eastAsia="Times New Roman" w:hAnsi="Times New Roman"/>
                <w:sz w:val="21"/>
                <w:szCs w:val="21"/>
              </w:rPr>
              <w:t xml:space="preserve">Name: ____________________</w:t>
            </w:r>
          </w:p>
          <w:p>
            <w:pPr>
              <w:spacing w:after="160" w:before="80"/>
            </w:pPr>
            <w:r>
              <w:rPr>
                <w:rFonts w:ascii="Times New Roman" w:cs="Times New Roman" w:eastAsia="Times New Roman" w:hAnsi="Times New Roman"/>
                <w:sz w:val="21"/>
                <w:szCs w:val="21"/>
              </w:rPr>
              <w:t xml:space="preserve">Signature: ____________________</w:t>
            </w:r>
          </w:p>
          <w:p>
            <w:pPr>
              <w:spacing w:after="160" w:before="80"/>
            </w:pPr>
            <w:r>
              <w:rPr>
                <w:rFonts w:ascii="Times New Roman" w:cs="Times New Roman" w:eastAsia="Times New Roman" w:hAnsi="Times New Roman"/>
                <w:sz w:val="21"/>
                <w:szCs w:val="21"/>
              </w:rPr>
              <w:t xml:space="preserve">Date: ____________________</w:t>
            </w:r>
          </w:p>
        </w:tc>
      </w:tr>
    </w:tbl>
    <w:p>
      <w:pPr>
        <w:pageBreakBefore/>
        <w:spacing w:after="200" w:before="100" w:line="312"/>
        <w:jc w:val="center"/>
      </w:pPr>
      <w:r>
        <w:rPr>
          <w:rFonts w:ascii="Times New Roman" w:cs="Times New Roman" w:eastAsia="Times New Roman" w:hAnsi="Times New Roman"/>
          <w:b/>
          <w:bCs/>
          <w:sz w:val="30"/>
          <w:szCs w:val="30"/>
        </w:rPr>
        <w:t xml:space="preserve">COMPANY CERTIFICATE</w:t>
      </w:r>
    </w:p>
    <w:p>
      <w:pPr>
        <w:spacing w:after="700" w:before="300" w:line="312"/>
        <w:jc w:val="center"/>
      </w:pPr>
      <w:r>
        <w:rPr>
          <w:rFonts w:ascii="Times New Roman" w:cs="Times New Roman" w:eastAsia="Times New Roman" w:hAnsi="Times New Roman"/>
          <w:i/>
          <w:iCs/>
          <w:color w:val="7F7F7F"/>
          <w:sz w:val="20"/>
          <w:szCs w:val="20"/>
        </w:rPr>
        <w:t xml:space="preserve">[ Space reserved: insert the certificate issued by Vibrant Technology on this page and delete this note ]</w:t>
      </w:r>
    </w:p>
    <w:p>
      <w:pPr>
        <w:spacing w:after="200" w:before="300" w:line="312"/>
        <w:jc w:val="center"/>
      </w:pPr>
      <w:r>
        <w:rPr>
          <w:rFonts w:ascii="Times New Roman" w:cs="Times New Roman" w:eastAsia="Times New Roman" w:hAnsi="Times New Roman"/>
          <w:b/>
          <w:bCs/>
          <w:sz w:val="30"/>
          <w:szCs w:val="30"/>
        </w:rPr>
        <w:t xml:space="preserve">ACKNOWLEDGEMENT</w:t>
      </w:r>
    </w:p>
    <w:p>
      <w:pPr>
        <w:spacing w:after="140" w:before="0" w:line="300"/>
        <w:jc w:val="both"/>
      </w:pPr>
      <w:r>
        <w:rPr>
          <w:rFonts w:ascii="Times New Roman" w:cs="Times New Roman" w:eastAsia="Times New Roman" w:hAnsi="Times New Roman"/>
          <w:sz w:val="21"/>
          <w:szCs w:val="21"/>
        </w:rPr>
        <w:t xml:space="preserve">We would like to express our sincere gratitude to our project guide, Prof. Trupti Thakkar, for her guidance and support during the planning and preparation of this project report.</w:t>
      </w:r>
    </w:p>
    <w:p>
      <w:pPr>
        <w:spacing w:after="140" w:before="0" w:line="300"/>
        <w:jc w:val="both"/>
      </w:pPr>
      <w:r>
        <w:rPr>
          <w:rFonts w:ascii="Times New Roman" w:cs="Times New Roman" w:eastAsia="Times New Roman" w:hAnsi="Times New Roman"/>
          <w:sz w:val="21"/>
          <w:szCs w:val="21"/>
        </w:rPr>
        <w:t xml:space="preserve">We also thank Vibrant Technology for providing the project context and the opportunity to develop our understanding of a practical software solution. We are grateful to our institute, teachers, classmates, friends and families for their encouragement and support.</w:t>
      </w:r>
    </w:p>
    <w:p>
      <w:pPr>
        <w:spacing w:after="140" w:before="0" w:line="300"/>
        <w:jc w:val="both"/>
      </w:pPr>
      <w:r>
        <w:rPr>
          <w:rFonts w:ascii="Times New Roman" w:cs="Times New Roman" w:eastAsia="Times New Roman" w:hAnsi="Times New Roman"/>
          <w:sz w:val="21"/>
          <w:szCs w:val="21"/>
        </w:rPr>
        <w:t xml:space="preserve">This project helped us understand how natural-language requests, third-party integrations and security controls can be combined into a single workflow automation dashboard that stays reviewable and traceable.</w:t>
      </w:r>
    </w:p>
    <w:p>
      <w:pPr>
        <w:spacing w:after="40" w:before="100" w:line="288"/>
        <w:jc w:val="left"/>
      </w:pPr>
      <w:r>
        <w:rPr>
          <w:rFonts w:ascii="Times New Roman" w:cs="Times New Roman" w:eastAsia="Times New Roman" w:hAnsi="Times New Roman"/>
          <w:sz w:val="21"/>
          <w:szCs w:val="21"/>
        </w:rPr>
        <w:t xml:space="preserve">Place: Ahmedabad</w:t>
      </w:r>
    </w:p>
    <w:p>
      <w:pPr>
        <w:spacing w:after="160" w:before="0" w:line="288"/>
        <w:jc w:val="left"/>
      </w:pPr>
      <w:r>
        <w:rPr>
          <w:rFonts w:ascii="Times New Roman" w:cs="Times New Roman" w:eastAsia="Times New Roman" w:hAnsi="Times New Roman"/>
          <w:sz w:val="21"/>
          <w:szCs w:val="21"/>
        </w:rPr>
        <w:t xml:space="preserve">Date: __________________</w:t>
      </w:r>
    </w:p>
    <w:p>
      <w:pPr>
        <w:spacing w:after="80" w:before="0" w:line="288"/>
        <w:jc w:val="left"/>
      </w:pPr>
      <w:r>
        <w:rPr>
          <w:rFonts w:ascii="Times New Roman" w:cs="Times New Roman" w:eastAsia="Times New Roman" w:hAnsi="Times New Roman"/>
          <w:b/>
          <w:bCs/>
          <w:sz w:val="21"/>
          <w:szCs w:val="21"/>
        </w:rPr>
        <w:t xml:space="preserve">Students: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blHeader/>
        </w:trPr>
        <w:tc>
          <w:tcPr>
            <w:tcW w:type="dxa" w:w="4653"/>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Student name:</w:t>
            </w:r>
          </w:p>
        </w:tc>
        <w:tc>
          <w:tcPr>
            <w:tcW w:type="dxa" w:w="4653"/>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Enrollment no.</w:t>
            </w:r>
          </w:p>
        </w:tc>
      </w:tr>
      <w:tr>
        <w:trPr>
          <w:cantSplit/>
        </w:trPr>
        <w:tc>
          <w:tcPr>
            <w:tcW w:type="dxa" w:w="4653"/>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Pal Anshu J.</w:t>
            </w:r>
          </w:p>
        </w:tc>
        <w:tc>
          <w:tcPr>
            <w:tcW w:type="dxa" w:w="4653"/>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243170601053</w:t>
            </w:r>
          </w:p>
        </w:tc>
      </w:tr>
      <w:tr>
        <w:trPr>
          <w:cantSplit/>
        </w:trPr>
        <w:tc>
          <w:tcPr>
            <w:tcW w:type="dxa" w:w="465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Darbar Manthan H.</w:t>
            </w:r>
          </w:p>
        </w:tc>
        <w:tc>
          <w:tcPr>
            <w:tcW w:type="dxa" w:w="465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243170601021</w:t>
            </w:r>
          </w:p>
        </w:tc>
      </w:tr>
      <w:tr>
        <w:trPr>
          <w:cantSplit/>
        </w:trPr>
        <w:tc>
          <w:tcPr>
            <w:tcW w:type="dxa" w:w="4653"/>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Trivedi Sujal A.</w:t>
            </w:r>
          </w:p>
        </w:tc>
        <w:tc>
          <w:tcPr>
            <w:tcW w:type="dxa" w:w="4653"/>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243170602122</w:t>
            </w:r>
          </w:p>
        </w:tc>
      </w:tr>
    </w:tbl>
    <w:p>
      <w:pPr>
        <w:sectPr>
          <w:headerReference w:type="default" r:id="rId7"/>
          <w:footerReference w:type="default" r:id="rId8"/>
          <w:pgSz w:w="11906" w:h="16838" w:orient="portrait"/>
          <w:pgMar w:top="1500" w:right="1300" w:bottom="1400" w:left="1300" w:header="600" w:footer="600" w:gutter="0"/>
          <w:pgBorders w:display="allPages" w:offsetFrom="page" w:zOrder="front">
            <w:top w:val="single" w:color="000000" w:sz="8" w:space="24"/>
            <w:left w:val="single" w:color="000000" w:sz="8" w:space="24"/>
            <w:bottom w:val="single" w:color="000000" w:sz="8" w:space="24"/>
            <w:right w:val="single" w:color="000000" w:sz="8" w:space="24"/>
          </w:pgBorders>
          <w:pgNumType w:start="1" w:fmt="upperRoman"/>
          <w:docGrid w:linePitch="360"/>
        </w:sectPr>
      </w:pPr>
    </w:p>
    <w:p>
      <w:pPr>
        <w:pageBreakBefore/>
        <w:spacing w:after="200" w:before="0" w:line="312"/>
        <w:jc w:val="center"/>
      </w:pPr>
      <w:r>
        <w:rPr>
          <w:rFonts w:ascii="Times New Roman" w:cs="Times New Roman" w:eastAsia="Times New Roman" w:hAnsi="Times New Roman"/>
          <w:b/>
          <w:bCs/>
          <w:sz w:val="30"/>
          <w:szCs w:val="30"/>
        </w:rPr>
        <w:t xml:space="preserve">INDEX</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5806"/>
        <w:gridCol w:w="2000"/>
      </w:tblGrid>
      <w:tr>
        <w:trPr>
          <w:tblHeader/>
        </w:trPr>
        <w:tc>
          <w:tcPr>
            <w:tcW w:type="dxa" w:w="15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color w:val="FFFFFF"/>
                <w:sz w:val="19"/>
                <w:szCs w:val="19"/>
              </w:rPr>
              <w:t xml:space="preserve">Chapter / Section</w:t>
            </w:r>
          </w:p>
        </w:tc>
        <w:tc>
          <w:tcPr>
            <w:tcW w:type="dxa" w:w="58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color w:val="FFFFFF"/>
                <w:sz w:val="19"/>
                <w:szCs w:val="19"/>
              </w:rPr>
              <w:t xml:space="preserve">Title</w:t>
            </w:r>
          </w:p>
        </w:tc>
        <w:tc>
          <w:tcPr>
            <w:tcW w:type="dxa" w:w="20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color w:val="FFFFFF"/>
                <w:sz w:val="19"/>
                <w:szCs w:val="19"/>
              </w:rPr>
              <w:t xml:space="preserve">Page</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Certificate</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III</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Company Certificate (reserved)</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IV</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Acknowledgement</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IV</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Index</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List of Figures</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List of Tables</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5</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1</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Company Profile</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6</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1.1</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Company Profile</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6</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1.2</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Project Context</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6</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2</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Project Profile</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7</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2.1</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Project Description</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7</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2.2</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Abstract</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7</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2.3</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Existing System and Problem Statement</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8</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2.4</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Proposed System</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8</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2.5</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Objectives and Scope</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8</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2.6</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Key Features</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9</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2.7</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Intended Users and Use Cases</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9</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2.8</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System Architecture</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9</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2.9</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Main Functional Modules</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11</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2.10</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Functional Requirements</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11</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2.11</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Development Tools and Technologies</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13</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2.12</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Hardware and Software Requirements</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23</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3</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System Flow Diagram</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24</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3.1</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Introduction</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24</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3.2</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System Flow</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24</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3.3</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Explanation of Flow</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25</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3.4</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Execution State Flow</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25</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4</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Data Flow Diagram</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26</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4.1</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Definition</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26</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4.2</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DFD Level 0 — Context Diagram</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26</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4.3</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DFD Level 1</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26</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4.4</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Main Processes</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28</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4.5</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Data Stores</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28</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5</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Entity Relationship Diagram</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29</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5.1</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Definition</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29</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5.2</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ER Diagram</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29</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5.3</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Explanation of Entities</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29</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5.4</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Relationships</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30</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5.5</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Integrity Rules</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30</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6</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Data Dictionary</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31</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6.1</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Definition</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31</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6.2</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Entity Tables</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31</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6.3</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Access Control Notes</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32</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7</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Workflow Design and Google Integrations</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34</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7.1</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Natural-Language Request Processing</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34</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7.2</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Workflow Definition Example</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34</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7.3</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Approval and Permission Model</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34</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7.4</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Failure Handling and Recovery</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34</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7.5</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Integration Lifecycle</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35</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7.6</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Gmail Integration</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35</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7.7</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Google Calendar Integration</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35</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7.8</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Google Sheets Integration</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35</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7.9</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OAuth Security and Revocation</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36</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8</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Security, Privacy and Governance</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37</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8.1</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Authentication and Authorization</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37</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8.2</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Secrets Management</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37</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8.3</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Data Privacy and Minimization</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37</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8.4</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Prompt Injection and Untrusted Content</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37</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8.5</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Audit Events and Monitoring</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38</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8.6</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Threat Model Summary</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38</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9</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Testing and Quality Assurance</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39</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9.1</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Unit and Component Testing</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39</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9.2</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Integration Testing</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39</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9.3</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RLS and Authorization Testing</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39</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9.4</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End-to-End Testing</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39</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9.5</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Security and Release Checks</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39</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10</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Development Plan and Completion Gates</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41</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10.1</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Overview of the Plan</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41</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10.2</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Module 1 — Repository Audit and Foundation</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42</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10.3</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Module 2 — Authentication and RLS</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42</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10.4</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Module 3 — Dashboard Overview</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42</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10.5</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Module 4 — AI Workflow Builder</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42</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10.6</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Module 5 — Google Integrations</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42</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10.7</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Module 6 — Execution Engine and History</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42</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10.8</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Module 7 — Security Center</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43</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10.9</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Module 8 — End-to-End and Production Readiness</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43</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11</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User Interface and Accessibility</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44</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11.1</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Navigation and Visual System</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44</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11.2</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Dashboard Screen Design</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44</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11.3</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Builder Screen Design</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44</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11.4</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Accessibility and Responsive Behavior</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44</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12</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Conclusion, Limitations and Future Scope</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45</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12.1</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Conclusion</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45</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12.2</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Benefits</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45</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12.3</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Limitations and Scope Boundaries</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45</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12.4</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Operations and Deployment</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45</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12.5</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Future Scope</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46</w:t>
            </w:r>
          </w:p>
        </w:tc>
      </w:tr>
      <w:tr>
        <w:trPr>
          <w:cantSplit/>
        </w:trPr>
        <w:tc>
          <w:tcPr>
            <w:tcW w:type="dxa" w:w="15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13</w:t>
            </w:r>
          </w:p>
        </w:tc>
        <w:tc>
          <w:tcPr>
            <w:tcW w:type="dxa" w:w="58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sz w:val="19"/>
                <w:szCs w:val="19"/>
              </w:rPr>
              <w:t xml:space="preserve">Bibliography</w:t>
            </w:r>
          </w:p>
        </w:tc>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sz w:val="19"/>
                <w:szCs w:val="19"/>
              </w:rPr>
              <w:t xml:space="preserve">47</w:t>
            </w:r>
          </w:p>
        </w:tc>
      </w:tr>
      <w:tr>
        <w:trPr>
          <w:cantSplit/>
        </w:trPr>
        <w:tc>
          <w:tcPr>
            <w:tcW w:type="dxa" w:w="15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w:t>
            </w:r>
          </w:p>
        </w:tc>
        <w:tc>
          <w:tcPr>
            <w:tcW w:type="dxa" w:w="58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val="false"/>
                <w:bCs w:val="false"/>
                <w:sz w:val="19"/>
                <w:szCs w:val="19"/>
              </w:rPr>
              <w:t xml:space="preserve">Thank You</w:t>
            </w:r>
          </w:p>
        </w:tc>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val="false"/>
                <w:bCs w:val="false"/>
                <w:sz w:val="19"/>
                <w:szCs w:val="19"/>
              </w:rPr>
              <w:t xml:space="preserve">48</w:t>
            </w:r>
          </w:p>
        </w:tc>
      </w:tr>
    </w:tbl>
    <w:p>
      <w:pPr>
        <w:spacing w:after="120" w:before="120" w:line="288"/>
        <w:jc w:val="left"/>
      </w:pPr>
      <w:r>
        <w:rPr>
          <w:rFonts w:ascii="Times New Roman" w:cs="Times New Roman" w:eastAsia="Times New Roman" w:hAnsi="Times New Roman"/>
          <w:i/>
          <w:iCs/>
          <w:sz w:val="18"/>
          <w:szCs w:val="18"/>
        </w:rPr>
        <w:t xml:space="preserve">Page numbers: pages before the Index use Roman numerals (I–IV); from the Index page numbering restarts as Arabic 1, 2, 3…</w:t>
      </w:r>
    </w:p>
    <w:p>
      <w:pPr>
        <w:pageBreakBefore/>
        <w:spacing w:after="200" w:before="0" w:line="312"/>
        <w:jc w:val="center"/>
      </w:pPr>
      <w:r>
        <w:rPr>
          <w:rFonts w:ascii="Times New Roman" w:cs="Times New Roman" w:eastAsia="Times New Roman" w:hAnsi="Times New Roman"/>
          <w:b/>
          <w:bCs/>
          <w:sz w:val="30"/>
          <w:szCs w:val="30"/>
        </w:rPr>
        <w:t xml:space="preserve">LIST OF FIGURES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tblHeader/>
        </w:trPr>
        <w:tc>
          <w:tcPr>
            <w:tcW w:type="dxa" w:w="17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color w:val="FFFFFF"/>
                <w:sz w:val="19"/>
                <w:szCs w:val="19"/>
              </w:rPr>
              <w:t xml:space="preserve">Figure No.</w:t>
            </w:r>
          </w:p>
        </w:tc>
        <w:tc>
          <w:tcPr>
            <w:tcW w:type="dxa" w:w="76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color w:val="FFFFFF"/>
                <w:sz w:val="19"/>
                <w:szCs w:val="19"/>
              </w:rPr>
              <w:t xml:space="preserve">Title</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Fig. 2.1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Layered System Architecture</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Fig. 2.2</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Technology Stack Overview</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Fig. 3.1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Workflow Creation Flow</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Fig. 3.2</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Simplified Run States</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Fig. 4.1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DFD Level 0 — Context Diagram</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Fig. 4.2</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DFD Level 1</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Fig. 5.1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Entity Relationship Diagram (proposed)</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Fig. 7.1</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Google OAuth Lifecycle</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Fig. 8.1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Security Boundaries</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Fig. 10.1</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Module Completion Gate Sequence</w:t>
            </w:r>
          </w:p>
        </w:tc>
      </w:tr>
    </w:tbl>
    <w:p>
      <w:pPr>
        <w:pageBreakBefore/>
        <w:spacing w:after="200" w:before="0" w:line="312"/>
        <w:jc w:val="center"/>
      </w:pPr>
      <w:r>
        <w:rPr>
          <w:rFonts w:ascii="Times New Roman" w:cs="Times New Roman" w:eastAsia="Times New Roman" w:hAnsi="Times New Roman"/>
          <w:b/>
          <w:bCs/>
          <w:sz w:val="30"/>
          <w:szCs w:val="30"/>
        </w:rPr>
        <w:t xml:space="preserve">LIST OF TABLES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tblHeader/>
        </w:trPr>
        <w:tc>
          <w:tcPr>
            <w:tcW w:type="dxa" w:w="17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b/>
                <w:bCs/>
                <w:color w:val="FFFFFF"/>
                <w:sz w:val="19"/>
                <w:szCs w:val="19"/>
              </w:rPr>
              <w:t xml:space="preserve">Table No.</w:t>
            </w:r>
          </w:p>
        </w:tc>
        <w:tc>
          <w:tcPr>
            <w:tcW w:type="dxa" w:w="76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b/>
                <w:bCs/>
                <w:color w:val="FFFFFF"/>
                <w:sz w:val="19"/>
                <w:szCs w:val="19"/>
              </w:rPr>
              <w:t xml:space="preserve">Title</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1.1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Company and Project Details</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2.1</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Project Profile</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2.2</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Key Features</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2.3</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System Architecture Layers</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2.4</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Functional Modules</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2.5</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Candidate Dashboard Metrics</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2.6</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Non-Functional Requirements</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2.7</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Technology Stack</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2.8</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Hardware Requirements</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2.9</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Software Requirements</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4.1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Main Processes</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4.2</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Data Stores</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5.1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Entities</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5.2</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Relationships</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6.1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PROFILE Table</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6.2</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WORKFLOW Table</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6.3</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INTEGRATION Table</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6.4</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EXECUTION_RUN Table</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6.5</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APPROVAL Table</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6.6</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AUDIT_EVENT Table</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7.1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Failure Handling Approach</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7.2</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Planned Google Integration Capabilities</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8.1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Threats and Mitigations</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9.1</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Testing Levels</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10.1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Modules and Completion Gates</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11.1</w:t>
            </w:r>
          </w:p>
        </w:tc>
        <w:tc>
          <w:tcPr>
            <w:tcW w:type="dxa" w:w="76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Sidebar Navigation</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center"/>
            </w:pPr>
            <w:r>
              <w:rPr>
                <w:rFonts w:ascii="Times New Roman" w:cs="Times New Roman" w:eastAsia="Times New Roman" w:hAnsi="Times New Roman"/>
                <w:sz w:val="19"/>
                <w:szCs w:val="19"/>
              </w:rPr>
              <w:t xml:space="preserve">Table 12.1</w:t>
            </w:r>
          </w:p>
        </w:tc>
        <w:tc>
          <w:tcPr>
            <w:tcW w:type="dxa" w:w="76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spacing w:after="0" w:line="259"/>
              <w:jc w:val="left"/>
            </w:pPr>
            <w:r>
              <w:rPr>
                <w:rFonts w:ascii="Times New Roman" w:cs="Times New Roman" w:eastAsia="Times New Roman" w:hAnsi="Times New Roman"/>
                <w:sz w:val="19"/>
                <w:szCs w:val="19"/>
              </w:rPr>
              <w:t xml:space="preserve">Included and Not Included</w:t>
            </w:r>
          </w:p>
        </w:tc>
      </w:tr>
    </w:tbl>
    <w:p>
      <w:pPr>
        <w:pStyle w:val="Heading1"/>
        <w:keepNext/>
        <w:pageBreakBefore/>
        <w:spacing w:after="200"/>
      </w:pPr>
      <w:r>
        <w:rPr>
          <w:rFonts w:ascii="Calibri" w:cs="Calibri" w:eastAsia="Calibri" w:hAnsi="Calibri"/>
          <w:b/>
          <w:bCs/>
          <w:color w:val="1F4E79"/>
          <w:sz w:val="32"/>
          <w:szCs w:val="32"/>
        </w:rPr>
        <w:t xml:space="preserve">CHAPTER 1: COMPANY PROFILE</w:t>
      </w:r>
    </w:p>
    <w:p>
      <w:pPr>
        <w:pStyle w:val="Heading2"/>
        <w:keepNext/>
        <w:spacing w:after="120" w:before="200"/>
      </w:pPr>
      <w:r>
        <w:rPr>
          <w:rFonts w:ascii="Calibri" w:cs="Calibri" w:eastAsia="Calibri" w:hAnsi="Calibri"/>
          <w:b/>
          <w:bCs/>
          <w:color w:val="1F4E79"/>
          <w:sz w:val="26"/>
          <w:szCs w:val="26"/>
        </w:rPr>
        <w:t xml:space="preserve">1.1 Company Profile</w:t>
      </w:r>
    </w:p>
    <w:p>
      <w:pPr>
        <w:spacing w:after="120" w:before="0" w:line="288"/>
        <w:jc w:val="both"/>
      </w:pPr>
      <w:r>
        <w:rPr>
          <w:rFonts w:ascii="Times New Roman" w:cs="Times New Roman" w:eastAsia="Times New Roman" w:hAnsi="Times New Roman"/>
          <w:sz w:val="21"/>
          <w:szCs w:val="21"/>
        </w:rPr>
        <w:t xml:space="preserve">Vibrant Technology is the organization associated with this project. The project documentation identifies the organization and its Ahmedabad address as given below. No additional company services or corporate history are stated here because they were not part of the project information supplied for this report.</w:t>
      </w:r>
    </w:p>
    <w:p>
      <w:pPr>
        <w:keepNext/>
        <w:spacing w:after="80" w:before="120"/>
        <w:jc w:val="center"/>
      </w:pPr>
      <w:r>
        <w:rPr>
          <w:rFonts w:ascii="Times New Roman" w:cs="Times New Roman" w:eastAsia="Times New Roman" w:hAnsi="Times New Roman"/>
          <w:b/>
          <w:bCs/>
          <w:color w:val="1F4E79"/>
          <w:sz w:val="20"/>
          <w:szCs w:val="20"/>
        </w:rPr>
        <w:t xml:space="preserve">Table 1.1: Company and Project Details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cantSplit/>
          <w:tblHeader/>
        </w:trPr>
        <w:tc>
          <w:tcPr>
            <w:tcW w:type="dxa" w:w="26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Particular</w:t>
            </w:r>
          </w:p>
        </w:tc>
        <w:tc>
          <w:tcPr>
            <w:tcW w:type="dxa" w:w="67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Details</w:t>
            </w:r>
          </w:p>
        </w:tc>
      </w:tr>
      <w:tr>
        <w:trPr>
          <w:cantSplit/>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Company Name</w:t>
            </w:r>
          </w:p>
        </w:tc>
        <w:tc>
          <w:tcPr>
            <w:tcW w:type="dxa" w:w="6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Vibrant Technology</w:t>
            </w:r>
          </w:p>
        </w:tc>
      </w:tr>
      <w:tr>
        <w:trPr>
          <w:cantSplit/>
        </w:trPr>
        <w:tc>
          <w:tcPr>
            <w:tcW w:type="dxa" w:w="26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Address</w:t>
            </w:r>
          </w:p>
        </w:tc>
        <w:tc>
          <w:tcPr>
            <w:tcW w:type="dxa" w:w="6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801, Silicon Tower, Opp. Axis Bank, Law Garden, Ellisbridge, Ahmedabad, Gujarat 380006</w:t>
            </w:r>
          </w:p>
        </w:tc>
      </w:tr>
      <w:tr>
        <w:trPr>
          <w:cantSplit/>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Project Type</w:t>
            </w:r>
          </w:p>
        </w:tc>
        <w:tc>
          <w:tcPr>
            <w:tcW w:type="dxa" w:w="6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BCA Semester V Project</w:t>
            </w:r>
          </w:p>
        </w:tc>
      </w:tr>
      <w:tr>
        <w:trPr>
          <w:cantSplit/>
        </w:trPr>
        <w:tc>
          <w:tcPr>
            <w:tcW w:type="dxa" w:w="26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Project Title</w:t>
            </w:r>
          </w:p>
        </w:tc>
        <w:tc>
          <w:tcPr>
            <w:tcW w:type="dxa" w:w="6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FlowPilot AI Automation Dashboard</w:t>
            </w:r>
          </w:p>
        </w:tc>
      </w:tr>
      <w:tr>
        <w:trPr>
          <w:cantSplit/>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Faculty Guidance</w:t>
            </w:r>
          </w:p>
        </w:tc>
        <w:tc>
          <w:tcPr>
            <w:tcW w:type="dxa" w:w="6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Prof. Trupti Thakkar</w:t>
            </w:r>
          </w:p>
        </w:tc>
      </w:tr>
    </w:tbl>
    <w:p>
      <w:pPr>
        <w:spacing w:after="140"/>
      </w:pPr>
    </w:p>
    <w:p>
      <w:pPr>
        <w:pStyle w:val="Heading2"/>
        <w:keepNext/>
        <w:spacing w:after="120" w:before="200"/>
      </w:pPr>
      <w:r>
        <w:rPr>
          <w:rFonts w:ascii="Calibri" w:cs="Calibri" w:eastAsia="Calibri" w:hAnsi="Calibri"/>
          <w:b/>
          <w:bCs/>
          <w:color w:val="1F4E79"/>
          <w:sz w:val="26"/>
          <w:szCs w:val="26"/>
        </w:rPr>
        <w:t xml:space="preserve">1.2 Project Context</w:t>
      </w:r>
    </w:p>
    <w:p>
      <w:pPr>
        <w:spacing w:after="120" w:before="0" w:line="288"/>
        <w:jc w:val="both"/>
      </w:pPr>
      <w:r>
        <w:rPr>
          <w:rFonts w:ascii="Times New Roman" w:cs="Times New Roman" w:eastAsia="Times New Roman" w:hAnsi="Times New Roman"/>
          <w:sz w:val="21"/>
          <w:szCs w:val="21"/>
        </w:rPr>
        <w:t xml:space="preserve">FlowPilot AI Automation Dashboard is a proposed web application for creating, reviewing, executing and monitoring AI-assisted workflows from one workspace. This report documents the proposed requirements, architecture, data design, security approach, testing strategy and module-by-module development plan.</w:t>
      </w:r>
    </w:p>
    <w:p>
      <w:pPr>
        <w:spacing w:after="120" w:before="0" w:line="288"/>
        <w:jc w:val="both"/>
      </w:pPr>
      <w:r>
        <w:rPr>
          <w:rFonts w:ascii="Times New Roman" w:cs="Times New Roman" w:eastAsia="Times New Roman" w:hAnsi="Times New Roman"/>
          <w:sz w:val="21"/>
          <w:szCs w:val="21"/>
        </w:rPr>
        <w:t xml:space="preserve">The report is a design and development reference. No feature should be treated as implemented unless supporting evidence, such as test results or screenshots, is recorded for it.</w:t>
      </w:r>
    </w:p>
    <w:p>
      <w:pPr>
        <w:pStyle w:val="Heading1"/>
        <w:keepNext/>
        <w:pageBreakBefore/>
        <w:spacing w:after="200"/>
      </w:pPr>
      <w:r>
        <w:rPr>
          <w:rFonts w:ascii="Calibri" w:cs="Calibri" w:eastAsia="Calibri" w:hAnsi="Calibri"/>
          <w:b/>
          <w:bCs/>
          <w:color w:val="1F4E79"/>
          <w:sz w:val="32"/>
          <w:szCs w:val="32"/>
        </w:rPr>
        <w:t xml:space="preserve">CHAPTER 2: PROJECT PROFILE</w:t>
      </w:r>
    </w:p>
    <w:p>
      <w:pPr>
        <w:pStyle w:val="Heading2"/>
        <w:keepNext/>
        <w:spacing w:after="120" w:before="200"/>
      </w:pPr>
      <w:r>
        <w:rPr>
          <w:rFonts w:ascii="Calibri" w:cs="Calibri" w:eastAsia="Calibri" w:hAnsi="Calibri"/>
          <w:b/>
          <w:bCs/>
          <w:color w:val="1F4E79"/>
          <w:sz w:val="26"/>
          <w:szCs w:val="26"/>
        </w:rPr>
        <w:t xml:space="preserve">2.1 Project Description</w:t>
      </w:r>
    </w:p>
    <w:p>
      <w:pPr>
        <w:spacing w:after="120" w:before="0" w:line="288"/>
        <w:jc w:val="both"/>
      </w:pPr>
      <w:r>
        <w:rPr>
          <w:rFonts w:ascii="Times New Roman" w:cs="Times New Roman" w:eastAsia="Times New Roman" w:hAnsi="Times New Roman"/>
          <w:sz w:val="21"/>
          <w:szCs w:val="21"/>
        </w:rPr>
        <w:t xml:space="preserve">FlowPilot AI Automation Dashboard is a proposed web application for creating, reviewing, executing and monitoring AI-assisted workflows from one workspace. A user describes a routine task in natural language; the system converts the request into a structured workflow proposal that the user can inspect, edit, approve and later review in the execution history.</w:t>
      </w:r>
    </w:p>
    <w:p>
      <w:pPr>
        <w:spacing w:after="120" w:before="0" w:line="288"/>
        <w:jc w:val="both"/>
      </w:pPr>
      <w:r>
        <w:rPr>
          <w:rFonts w:ascii="Times New Roman" w:cs="Times New Roman" w:eastAsia="Times New Roman" w:hAnsi="Times New Roman"/>
          <w:sz w:val="21"/>
          <w:szCs w:val="21"/>
        </w:rPr>
        <w:t xml:space="preserve">The first release is organized around five features: Dashboard Overview, AI Workflow Builder, Integration Manager, Execution History and Security Center. Google integrations are planned for Gmail, Google Calendar and Google Sheets. The report documents the requirements, architecture, data design, security controls and testing approach for these features.</w:t>
      </w:r>
    </w:p>
    <w:p>
      <w:pPr>
        <w:keepNext/>
        <w:spacing w:after="80" w:before="120"/>
        <w:jc w:val="center"/>
      </w:pPr>
      <w:r>
        <w:rPr>
          <w:rFonts w:ascii="Times New Roman" w:cs="Times New Roman" w:eastAsia="Times New Roman" w:hAnsi="Times New Roman"/>
          <w:b/>
          <w:bCs/>
          <w:color w:val="1F4E79"/>
          <w:sz w:val="20"/>
          <w:szCs w:val="20"/>
        </w:rPr>
        <w:t xml:space="preserve">Table 2.1: Project Profile</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506"/>
      </w:tblGrid>
      <w:tr>
        <w:trPr>
          <w:cantSplit/>
          <w:tblHeader/>
        </w:trPr>
        <w:tc>
          <w:tcPr>
            <w:tcW w:type="dxa" w:w="28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Item</w:t>
            </w:r>
          </w:p>
        </w:tc>
        <w:tc>
          <w:tcPr>
            <w:tcW w:type="dxa" w:w="65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Description</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Project Title</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FlowPilot AI Automation Dashboard</w:t>
            </w:r>
          </w:p>
        </w:tc>
      </w:tr>
      <w:tr>
        <w:trPr>
          <w:cantSplit/>
        </w:trPr>
        <w:tc>
          <w:tcPr>
            <w:tcW w:type="dxa" w:w="2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Project Category</w:t>
            </w:r>
          </w:p>
        </w:tc>
        <w:tc>
          <w:tcPr>
            <w:tcW w:type="dxa" w:w="65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AI-assisted workflow automation web application (proposed)</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Primary Users</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Individuals or small teams automating repetitive tasks</w:t>
            </w:r>
          </w:p>
        </w:tc>
      </w:tr>
      <w:tr>
        <w:trPr>
          <w:cantSplit/>
        </w:trPr>
        <w:tc>
          <w:tcPr>
            <w:tcW w:type="dxa" w:w="2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Main Purpose</w:t>
            </w:r>
          </w:p>
        </w:tc>
        <w:tc>
          <w:tcPr>
            <w:tcW w:type="dxa" w:w="65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Create, review, execute and monitor AI-assisted workflows across Gmail, Google Calendar and Google Sheets</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Front End</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Next.js (App Router), React, Tailwind CSS, shadcn/ui</w:t>
            </w:r>
          </w:p>
        </w:tc>
      </w:tr>
      <w:tr>
        <w:trPr>
          <w:cantSplit/>
        </w:trPr>
        <w:tc>
          <w:tcPr>
            <w:tcW w:type="dxa" w:w="2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Programming Language</w:t>
            </w:r>
          </w:p>
        </w:tc>
        <w:tc>
          <w:tcPr>
            <w:tcW w:type="dxa" w:w="65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TypeScript</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Database</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Supabase PostgreSQL</w:t>
            </w:r>
          </w:p>
        </w:tc>
      </w:tr>
      <w:tr>
        <w:trPr>
          <w:cantSplit/>
        </w:trPr>
        <w:tc>
          <w:tcPr>
            <w:tcW w:type="dxa" w:w="2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Authentication</w:t>
            </w:r>
          </w:p>
        </w:tc>
        <w:tc>
          <w:tcPr>
            <w:tcW w:type="dxa" w:w="65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Supabase Auth with Row Level Security (RLS)</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AI Component</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LLM API, called from server-side code only</w:t>
            </w:r>
          </w:p>
        </w:tc>
      </w:tr>
      <w:tr>
        <w:trPr>
          <w:cantSplit/>
        </w:trPr>
        <w:tc>
          <w:tcPr>
            <w:tcW w:type="dxa" w:w="2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Integrations</w:t>
            </w:r>
          </w:p>
        </w:tc>
        <w:tc>
          <w:tcPr>
            <w:tcW w:type="dxa" w:w="65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Google OAuth with Gmail, Calendar and Sheets APIs</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Deployment (planned)</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Vercel with Supabase</w:t>
            </w:r>
          </w:p>
        </w:tc>
      </w:tr>
      <w:tr>
        <w:trPr>
          <w:cantSplit/>
        </w:trPr>
        <w:tc>
          <w:tcPr>
            <w:tcW w:type="dxa" w:w="2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Development Environment</w:t>
            </w:r>
          </w:p>
        </w:tc>
        <w:tc>
          <w:tcPr>
            <w:tcW w:type="dxa" w:w="65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Visual Studio Code or Google Antigravity, with Git</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Project Guide</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Prof. Trupti Thakkar</w:t>
            </w:r>
          </w:p>
        </w:tc>
      </w:tr>
      <w:tr>
        <w:trPr>
          <w:cantSplit/>
        </w:trPr>
        <w:tc>
          <w:tcPr>
            <w:tcW w:type="dxa" w:w="2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Project Organization</w:t>
            </w:r>
          </w:p>
        </w:tc>
        <w:tc>
          <w:tcPr>
            <w:tcW w:type="dxa" w:w="65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Vibrant Technology</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Developed By</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Anshu (3053), Manthan (3021), Sujal (3122)</w:t>
            </w:r>
          </w:p>
        </w:tc>
      </w:tr>
    </w:tbl>
    <w:p>
      <w:pPr>
        <w:spacing w:after="140"/>
      </w:pPr>
    </w:p>
    <w:p>
      <w:pPr>
        <w:pStyle w:val="Heading2"/>
        <w:keepNext/>
        <w:spacing w:after="120" w:before="200"/>
      </w:pPr>
      <w:r>
        <w:rPr>
          <w:rFonts w:ascii="Calibri" w:cs="Calibri" w:eastAsia="Calibri" w:hAnsi="Calibri"/>
          <w:b/>
          <w:bCs/>
          <w:color w:val="1F4E79"/>
          <w:sz w:val="26"/>
          <w:szCs w:val="26"/>
        </w:rPr>
        <w:t xml:space="preserve">2.2 Abstract</w:t>
      </w:r>
    </w:p>
    <w:p>
      <w:pPr>
        <w:spacing w:after="120" w:before="0" w:line="288"/>
        <w:jc w:val="both"/>
      </w:pPr>
      <w:r>
        <w:rPr>
          <w:rFonts w:ascii="Times New Roman" w:cs="Times New Roman" w:eastAsia="Times New Roman" w:hAnsi="Times New Roman"/>
          <w:sz w:val="21"/>
          <w:szCs w:val="21"/>
        </w:rPr>
        <w:t xml:space="preserve">People often repeat routine work across email, calendars and spreadsheets. Manually moving information between services takes time and makes it difficult to track what happened, which permissions were used and whether each step succeeded.</w:t>
      </w:r>
    </w:p>
    <w:p>
      <w:pPr>
        <w:spacing w:after="120" w:before="0" w:line="288"/>
        <w:jc w:val="both"/>
      </w:pPr>
      <w:r>
        <w:rPr>
          <w:rFonts w:ascii="Times New Roman" w:cs="Times New Roman" w:eastAsia="Times New Roman" w:hAnsi="Times New Roman"/>
          <w:sz w:val="21"/>
          <w:szCs w:val="21"/>
        </w:rPr>
        <w:t xml:space="preserve">FlowPilot proposes a single workspace in which a natural-language request is converted, through a server-side LLM call, into a versioned and schema-validated workflow proposal. The proposal is treated as untrusted data: it is validated against registered actions, reviewed by the user, and executed only after a separate approval step. User ownership is enforced through server-side checks and Supabase Row Level Security, Google access uses least-privilege OAuth scopes, and every run is recorded with sanitized results so that outcomes remain traceable.</w:t>
      </w:r>
    </w:p>
    <w:p>
      <w:pPr>
        <w:pStyle w:val="Heading2"/>
        <w:keepNext/>
        <w:spacing w:after="120" w:before="200"/>
      </w:pPr>
      <w:r>
        <w:rPr>
          <w:rFonts w:ascii="Calibri" w:cs="Calibri" w:eastAsia="Calibri" w:hAnsi="Calibri"/>
          <w:b/>
          <w:bCs/>
          <w:color w:val="1F4E79"/>
          <w:sz w:val="26"/>
          <w:szCs w:val="26"/>
        </w:rPr>
        <w:t xml:space="preserve">2.3 Existing System and Problem Statement</w:t>
      </w:r>
    </w:p>
    <w:p>
      <w:pPr>
        <w:spacing w:after="120" w:before="0" w:line="288"/>
        <w:jc w:val="both"/>
      </w:pPr>
      <w:r>
        <w:rPr>
          <w:rFonts w:ascii="Times New Roman" w:cs="Times New Roman" w:eastAsia="Times New Roman" w:hAnsi="Times New Roman"/>
          <w:sz w:val="21"/>
          <w:szCs w:val="21"/>
        </w:rPr>
        <w:t xml:space="preserve">In a manual process, a user may open several applications, copy information, update a spreadsheet and separately verify whether each step succeeded. When scripts are used, their configuration and execution records are often scattered and difficult for non-developers to review. The project addresses the lack of a single, understandable workspace for creating simple AI-assisted automations across supported services.</w:t>
      </w:r>
    </w:p>
    <w:p>
      <w:pPr>
        <w:keepNext/>
        <w:spacing w:after="120" w:before="0" w:line="288"/>
        <w:jc w:val="both"/>
      </w:pPr>
      <w:r>
        <w:rPr>
          <w:rFonts w:ascii="Times New Roman" w:cs="Times New Roman" w:eastAsia="Times New Roman" w:hAnsi="Times New Roman"/>
          <w:sz w:val="21"/>
          <w:szCs w:val="21"/>
        </w:rPr>
        <w:t xml:space="preserve">Users need a way to describe what they want, inspect the proposed steps, see which accounts and permissions would be used, and review what happened afterwards. The key engineering problems are:</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Data isolation:</w:t>
      </w:r>
      <w:r>
        <w:rPr>
          <w:rFonts w:ascii="Times New Roman" w:cs="Times New Roman" w:eastAsia="Times New Roman" w:hAnsi="Times New Roman"/>
          <w:sz w:val="21"/>
          <w:szCs w:val="21"/>
        </w:rPr>
        <w:t xml:space="preserve"> preventing one user from accessing another user’s workflows.</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Credential protection:</w:t>
      </w:r>
      <w:r>
        <w:rPr>
          <w:rFonts w:ascii="Times New Roman" w:cs="Times New Roman" w:eastAsia="Times New Roman" w:hAnsi="Times New Roman"/>
          <w:sz w:val="21"/>
          <w:szCs w:val="21"/>
        </w:rPr>
        <w:t xml:space="preserve"> protecting OAuth tokens and API keys.</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Untrusted AI output:</w:t>
      </w:r>
      <w:r>
        <w:rPr>
          <w:rFonts w:ascii="Times New Roman" w:cs="Times New Roman" w:eastAsia="Times New Roman" w:hAnsi="Times New Roman"/>
          <w:sz w:val="21"/>
          <w:szCs w:val="21"/>
        </w:rPr>
        <w:t xml:space="preserve"> validating unpredictable model output before it is used.</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Safe execution:</w:t>
      </w:r>
      <w:r>
        <w:rPr>
          <w:rFonts w:ascii="Times New Roman" w:cs="Times New Roman" w:eastAsia="Times New Roman" w:hAnsi="Times New Roman"/>
          <w:sz w:val="21"/>
          <w:szCs w:val="21"/>
        </w:rPr>
        <w:t xml:space="preserve"> avoiding duplicate or unsafe action execution.</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Safe history:</w:t>
      </w:r>
      <w:r>
        <w:rPr>
          <w:rFonts w:ascii="Times New Roman" w:cs="Times New Roman" w:eastAsia="Times New Roman" w:hAnsi="Times New Roman"/>
          <w:sz w:val="21"/>
          <w:szCs w:val="21"/>
        </w:rPr>
        <w:t xml:space="preserve"> recording useful execution history without leaking sensitive data.</w:t>
      </w:r>
    </w:p>
    <w:p>
      <w:pPr>
        <w:spacing w:after="60"/>
      </w:pPr>
    </w:p>
    <w:p>
      <w:pPr>
        <w:pStyle w:val="Heading2"/>
        <w:keepNext/>
        <w:spacing w:after="120" w:before="200"/>
      </w:pPr>
      <w:r>
        <w:rPr>
          <w:rFonts w:ascii="Calibri" w:cs="Calibri" w:eastAsia="Calibri" w:hAnsi="Calibri"/>
          <w:b/>
          <w:bCs/>
          <w:color w:val="1F4E79"/>
          <w:sz w:val="26"/>
          <w:szCs w:val="26"/>
        </w:rPr>
        <w:t xml:space="preserve">2.4 Proposed System</w:t>
      </w:r>
    </w:p>
    <w:p>
      <w:pPr>
        <w:spacing w:after="120" w:before="0" w:line="288"/>
        <w:jc w:val="both"/>
      </w:pPr>
      <w:r>
        <w:rPr>
          <w:rFonts w:ascii="Times New Roman" w:cs="Times New Roman" w:eastAsia="Times New Roman" w:hAnsi="Times New Roman"/>
          <w:sz w:val="21"/>
          <w:szCs w:val="21"/>
        </w:rPr>
        <w:t xml:space="preserve">FlowPilot provides a central dashboard, a natural-language workflow builder, a connection manager for selected Google services, a run history, and a security-oriented view of permissions and audit events. The user can inspect a workflow proposal, see missing integrations and permissions, edit it, and decide whether to save, cancel or approve it.</w:t>
      </w:r>
    </w:p>
    <w:p>
      <w:pPr>
        <w:spacing w:after="120" w:before="0" w:line="288"/>
        <w:jc w:val="both"/>
      </w:pPr>
      <w:r>
        <w:rPr>
          <w:rFonts w:ascii="Times New Roman" w:cs="Times New Roman" w:eastAsia="Times New Roman" w:hAnsi="Times New Roman"/>
          <w:sz w:val="21"/>
          <w:szCs w:val="21"/>
        </w:rPr>
        <w:t xml:space="preserve">The proposed system separates the user interface, server routes, business services, integration adapters, database access and tests. Database Row Level Security complements server-side authorization. The initial release should prioritize manually initiated workflows; scheduled and long-running work should be added only when a durable worker is configured and verified.</w:t>
      </w:r>
    </w:p>
    <w:p>
      <w:pPr>
        <w:pStyle w:val="Heading2"/>
        <w:keepNext/>
        <w:spacing w:after="120" w:before="200"/>
      </w:pPr>
      <w:r>
        <w:rPr>
          <w:rFonts w:ascii="Calibri" w:cs="Calibri" w:eastAsia="Calibri" w:hAnsi="Calibri"/>
          <w:b/>
          <w:bCs/>
          <w:color w:val="1F4E79"/>
          <w:sz w:val="26"/>
          <w:szCs w:val="26"/>
        </w:rPr>
        <w:t xml:space="preserve">2.5 Objectives and Scope</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Centralized workspace:</w:t>
      </w:r>
      <w:r>
        <w:rPr>
          <w:rFonts w:ascii="Times New Roman" w:cs="Times New Roman" w:eastAsia="Times New Roman" w:hAnsi="Times New Roman"/>
          <w:sz w:val="21"/>
          <w:szCs w:val="21"/>
        </w:rPr>
        <w:t xml:space="preserve"> manage workflows, integrations and run history from one dashboard.</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Structured proposals:</w:t>
      </w:r>
      <w:r>
        <w:rPr>
          <w:rFonts w:ascii="Times New Roman" w:cs="Times New Roman" w:eastAsia="Times New Roman" w:hAnsi="Times New Roman"/>
          <w:sz w:val="21"/>
          <w:szCs w:val="21"/>
        </w:rPr>
        <w:t xml:space="preserve"> transform natural-language requests into structured, validated workflow proposals.</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Least-privilege access:</w:t>
      </w:r>
      <w:r>
        <w:rPr>
          <w:rFonts w:ascii="Times New Roman" w:cs="Times New Roman" w:eastAsia="Times New Roman" w:hAnsi="Times New Roman"/>
          <w:sz w:val="21"/>
          <w:szCs w:val="21"/>
        </w:rPr>
        <w:t xml:space="preserve"> connect Gmail, Calendar and Sheets with only the OAuth scopes each feature needs.</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Ownership and RLS:</w:t>
      </w:r>
      <w:r>
        <w:rPr>
          <w:rFonts w:ascii="Times New Roman" w:cs="Times New Roman" w:eastAsia="Times New Roman" w:hAnsi="Times New Roman"/>
          <w:sz w:val="21"/>
          <w:szCs w:val="21"/>
        </w:rPr>
        <w:t xml:space="preserve"> enforce ownership checks on the server and Row Level Security in the database.</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Traceable outcomes:</w:t>
      </w:r>
      <w:r>
        <w:rPr>
          <w:rFonts w:ascii="Times New Roman" w:cs="Times New Roman" w:eastAsia="Times New Roman" w:hAnsi="Times New Roman"/>
          <w:sz w:val="21"/>
          <w:szCs w:val="21"/>
        </w:rPr>
        <w:t xml:space="preserve"> record run outcomes with sanitized summaries and diagnostics.</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Visibility:</w:t>
      </w:r>
      <w:r>
        <w:rPr>
          <w:rFonts w:ascii="Times New Roman" w:cs="Times New Roman" w:eastAsia="Times New Roman" w:hAnsi="Times New Roman"/>
          <w:sz w:val="21"/>
          <w:szCs w:val="21"/>
        </w:rPr>
        <w:t xml:space="preserve"> show permissions, approvals and security-related audit events in a Security Center.</w:t>
      </w:r>
    </w:p>
    <w:p>
      <w:pPr>
        <w:spacing w:after="60"/>
      </w:pPr>
    </w:p>
    <w:p>
      <w:pPr>
        <w:spacing w:after="120" w:before="0" w:line="288"/>
        <w:jc w:val="both"/>
      </w:pPr>
      <w:r>
        <w:rPr>
          <w:rFonts w:ascii="Times New Roman" w:cs="Times New Roman" w:eastAsia="Times New Roman" w:hAnsi="Times New Roman"/>
          <w:b/>
          <w:bCs/>
          <w:sz w:val="21"/>
          <w:szCs w:val="21"/>
        </w:rPr>
        <w:t xml:space="preserve">Scope:</w:t>
      </w:r>
      <w:r>
        <w:rPr>
          <w:rFonts w:ascii="Times New Roman" w:cs="Times New Roman" w:eastAsia="Times New Roman" w:hAnsi="Times New Roman"/>
          <w:sz w:val="21"/>
          <w:szCs w:val="21"/>
        </w:rPr>
        <w:t xml:space="preserve"> The first release covers the five features listed in Section 2.1, with manually initiated workflows and low-risk Google actions such as reading permitted data, preparing an email draft for review, or writing an approved spreadsheet row. It does not claim scheduled or long-running automation, team workspaces, role-based administration or unattended email sending until that infrastructure is built and verified (see Section 12.3).</w:t>
      </w:r>
    </w:p>
    <w:p>
      <w:pPr>
        <w:pStyle w:val="Heading2"/>
        <w:keepNext/>
        <w:spacing w:after="120" w:before="200"/>
      </w:pPr>
      <w:r>
        <w:rPr>
          <w:rFonts w:ascii="Calibri" w:cs="Calibri" w:eastAsia="Calibri" w:hAnsi="Calibri"/>
          <w:b/>
          <w:bCs/>
          <w:color w:val="1F4E79"/>
          <w:sz w:val="26"/>
          <w:szCs w:val="26"/>
        </w:rPr>
        <w:t xml:space="preserve">2.6 Key Features</w:t>
      </w:r>
    </w:p>
    <w:p>
      <w:pPr>
        <w:keepNext/>
        <w:spacing w:after="80" w:before="120"/>
        <w:jc w:val="center"/>
      </w:pPr>
      <w:r>
        <w:rPr>
          <w:rFonts w:ascii="Times New Roman" w:cs="Times New Roman" w:eastAsia="Times New Roman" w:hAnsi="Times New Roman"/>
          <w:b/>
          <w:bCs/>
          <w:color w:val="1F4E79"/>
          <w:sz w:val="20"/>
          <w:szCs w:val="20"/>
        </w:rPr>
        <w:t xml:space="preserve">Table 2.2: Key Features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cantSplit/>
          <w:tblHeader/>
        </w:trPr>
        <w:tc>
          <w:tcPr>
            <w:tcW w:type="dxa" w:w="26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Feature</w:t>
            </w:r>
          </w:p>
        </w:tc>
        <w:tc>
          <w:tcPr>
            <w:tcW w:type="dxa" w:w="67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Description</w:t>
            </w:r>
          </w:p>
        </w:tc>
      </w:tr>
      <w:tr>
        <w:trPr>
          <w:cantSplit/>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Dashboard Overview</w:t>
            </w:r>
          </w:p>
        </w:tc>
        <w:tc>
          <w:tcPr>
            <w:tcW w:type="dxa" w:w="6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Owner-scoped workflow, run and connection summaries with loading, empty and error states.</w:t>
            </w:r>
          </w:p>
        </w:tc>
      </w:tr>
      <w:tr>
        <w:trPr>
          <w:cantSplit/>
        </w:trPr>
        <w:tc>
          <w:tcPr>
            <w:tcW w:type="dxa" w:w="26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AI Workflow Builder</w:t>
            </w:r>
          </w:p>
        </w:tc>
        <w:tc>
          <w:tcPr>
            <w:tcW w:type="dxa" w:w="6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Natural-language request converted to a versioned, validated proposal that is reviewed before saving.</w:t>
            </w:r>
          </w:p>
        </w:tc>
      </w:tr>
      <w:tr>
        <w:trPr>
          <w:cantSplit/>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Integration Manager</w:t>
            </w:r>
          </w:p>
        </w:tc>
        <w:tc>
          <w:tcPr>
            <w:tcW w:type="dxa" w:w="6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Connect, reconnect and disconnect Gmail, Calendar and Sheets with visible scopes and status.</w:t>
            </w:r>
          </w:p>
        </w:tc>
      </w:tr>
      <w:tr>
        <w:trPr>
          <w:cantSplit/>
        </w:trPr>
        <w:tc>
          <w:tcPr>
            <w:tcW w:type="dxa" w:w="26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Execution History</w:t>
            </w:r>
          </w:p>
        </w:tc>
        <w:tc>
          <w:tcPr>
            <w:tcW w:type="dxa" w:w="6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Run list and details with status, timestamps, duration and sanitized summaries.</w:t>
            </w:r>
          </w:p>
        </w:tc>
      </w:tr>
      <w:tr>
        <w:trPr>
          <w:cantSplit/>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Security Center</w:t>
            </w:r>
          </w:p>
        </w:tc>
        <w:tc>
          <w:tcPr>
            <w:tcW w:type="dxa" w:w="6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Connected accounts, permission summaries, approval records, audit events and configuration checks.</w:t>
            </w:r>
          </w:p>
        </w:tc>
      </w:tr>
      <w:tr>
        <w:trPr>
          <w:cantSplit/>
        </w:trPr>
        <w:tc>
          <w:tcPr>
            <w:tcW w:type="dxa" w:w="26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Approval Model</w:t>
            </w:r>
          </w:p>
        </w:tc>
        <w:tc>
          <w:tcPr>
            <w:tcW w:type="dxa" w:w="6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Generation, saving and execution are separate steps; sensitive actions need explicit confirmation.</w:t>
            </w:r>
          </w:p>
        </w:tc>
      </w:tr>
    </w:tbl>
    <w:p>
      <w:pPr>
        <w:spacing w:after="140"/>
      </w:pPr>
    </w:p>
    <w:p>
      <w:pPr>
        <w:pStyle w:val="Heading2"/>
        <w:keepNext/>
        <w:spacing w:after="120" w:before="200"/>
      </w:pPr>
      <w:r>
        <w:rPr>
          <w:rFonts w:ascii="Calibri" w:cs="Calibri" w:eastAsia="Calibri" w:hAnsi="Calibri"/>
          <w:b/>
          <w:bCs/>
          <w:color w:val="1F4E79"/>
          <w:sz w:val="26"/>
          <w:szCs w:val="26"/>
        </w:rPr>
        <w:t xml:space="preserve">2.7 Intended Users and Use Cases</w:t>
      </w:r>
    </w:p>
    <w:p>
      <w:pPr>
        <w:spacing w:after="120" w:before="0" w:line="288"/>
        <w:jc w:val="both"/>
      </w:pPr>
      <w:r>
        <w:rPr>
          <w:rFonts w:ascii="Times New Roman" w:cs="Times New Roman" w:eastAsia="Times New Roman" w:hAnsi="Times New Roman"/>
          <w:sz w:val="21"/>
          <w:szCs w:val="21"/>
        </w:rPr>
        <w:t xml:space="preserve">The intended users are individuals or small teams who want to automate repetitive tasks across connected services. Example use cases include preparing a calendar summary, writing approved structured data into a spreadsheet, or preparing an email draft for human review.</w:t>
      </w:r>
    </w:p>
    <w:p>
      <w:pPr>
        <w:spacing w:after="120" w:before="0" w:line="288"/>
        <w:jc w:val="both"/>
      </w:pPr>
      <w:r>
        <w:rPr>
          <w:rFonts w:ascii="Times New Roman" w:cs="Times New Roman" w:eastAsia="Times New Roman" w:hAnsi="Times New Roman"/>
          <w:sz w:val="21"/>
          <w:szCs w:val="21"/>
        </w:rPr>
        <w:t xml:space="preserve">Every use case must map to a registered action, a defined input schema, required OAuth scopes, ownership checks and a clear approval policy. If the user requests an unsupported operation, the system should explain the limitation instead of silently improvising or generating executable code.</w:t>
      </w:r>
    </w:p>
    <w:p>
      <w:pPr>
        <w:pStyle w:val="Heading2"/>
        <w:keepNext/>
        <w:spacing w:after="120" w:before="200"/>
      </w:pPr>
      <w:r>
        <w:rPr>
          <w:rFonts w:ascii="Calibri" w:cs="Calibri" w:eastAsia="Calibri" w:hAnsi="Calibri"/>
          <w:b/>
          <w:bCs/>
          <w:color w:val="1F4E79"/>
          <w:sz w:val="26"/>
          <w:szCs w:val="26"/>
        </w:rPr>
        <w:t xml:space="preserve">2.8 System Architecture</w:t>
      </w:r>
    </w:p>
    <w:p>
      <w:pPr>
        <w:spacing w:after="120" w:before="0" w:line="288"/>
        <w:jc w:val="both"/>
      </w:pPr>
      <w:r>
        <w:rPr>
          <w:rFonts w:ascii="Times New Roman" w:cs="Times New Roman" w:eastAsia="Times New Roman" w:hAnsi="Times New Roman"/>
          <w:sz w:val="21"/>
          <w:szCs w:val="21"/>
        </w:rPr>
        <w:t xml:space="preserve">The architecture separates presentation, request handling, domain services, workflow execution, provider adapters, persistence and quality assurance. This separation makes it easier to test individual responsibilities and to restrict sensitive operations to trusted server-side modules.</w:t>
      </w:r>
    </w:p>
    <w:p>
      <w:pPr>
        <w:keepNext/>
        <w:spacing w:after="80" w:before="120"/>
        <w:jc w:val="center"/>
      </w:pPr>
      <w:r>
        <w:rPr>
          <w:rFonts w:ascii="Times New Roman" w:cs="Times New Roman" w:eastAsia="Times New Roman" w:hAnsi="Times New Roman"/>
          <w:b/>
          <w:bCs/>
          <w:color w:val="1F4E79"/>
          <w:sz w:val="20"/>
          <w:szCs w:val="20"/>
        </w:rPr>
        <w:t xml:space="preserve">Table 2.3: System Architecture Layers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506"/>
      </w:tblGrid>
      <w:tr>
        <w:trPr>
          <w:cantSplit/>
          <w:tblHeader/>
        </w:trPr>
        <w:tc>
          <w:tcPr>
            <w:tcW w:type="dxa" w:w="28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Layer</w:t>
            </w:r>
          </w:p>
        </w:tc>
        <w:tc>
          <w:tcPr>
            <w:tcW w:type="dxa" w:w="65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Responsibility</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Presentation Layer</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Sidebar, top bar, dashboard cards, workflow editor, integration cards, tables, dialogs</w:t>
            </w:r>
          </w:p>
        </w:tc>
      </w:tr>
      <w:tr>
        <w:trPr>
          <w:cantSplit/>
        </w:trPr>
        <w:tc>
          <w:tcPr>
            <w:tcW w:type="dxa" w:w="2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Application and API Layer</w:t>
            </w:r>
          </w:p>
        </w:tc>
        <w:tc>
          <w:tcPr>
            <w:tcW w:type="dxa" w:w="65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Session verification, payload validation, ownership checks, rate limits, sanitized errors</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Workflow Engine</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Registry of triggers, conditions and action handlers; versioned definitions; execution limits</w:t>
            </w:r>
          </w:p>
        </w:tc>
      </w:tr>
      <w:tr>
        <w:trPr>
          <w:cantSplit/>
        </w:trPr>
        <w:tc>
          <w:tcPr>
            <w:tcW w:type="dxa" w:w="2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Integration Adapter Layer</w:t>
            </w:r>
          </w:p>
        </w:tc>
        <w:tc>
          <w:tcPr>
            <w:tcW w:type="dxa" w:w="65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Gmail, Calendar, Sheets and LLM adapters; scope checks; safe error translation</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Data and Persistence Layer</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Supabase PostgreSQL tables, migrations, RLS policies, run state and audit metadata</w:t>
            </w:r>
          </w:p>
        </w:tc>
      </w:tr>
      <w:tr>
        <w:trPr>
          <w:cantSplit/>
        </w:trPr>
        <w:tc>
          <w:tcPr>
            <w:tcW w:type="dxa" w:w="2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Quality Assurance</w:t>
            </w:r>
          </w:p>
        </w:tc>
        <w:tc>
          <w:tcPr>
            <w:tcW w:type="dxa" w:w="65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Unit, component, integration, RLS, end-to-end and release checks</w:t>
            </w:r>
          </w:p>
        </w:tc>
      </w:tr>
    </w:tbl>
    <w:p>
      <w:pPr>
        <w:spacing w:after="140"/>
      </w:pPr>
    </w:p>
    <w:p>
      <w:pPr>
        <w:keepNext/>
        <w:spacing w:after="60" w:before="120"/>
        <w:jc w:val="center"/>
      </w:pPr>
      <w:r>
        <w:drawing>
          <wp:inline distT="0" distB="0" distL="0" distR="0">
            <wp:extent cx="4476750" cy="3209925"/>
            <wp:effectExtent t="0" r="0" b="0" l="0"/>
            <wp:docPr id="1" name="fig2_2" descr="Layered System Architecture" title="Layer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209925"/>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19"/>
          <w:szCs w:val="19"/>
        </w:rPr>
        <w:t xml:space="preserve">Figure 2.1: Layered System Architecture</w:t>
      </w:r>
    </w:p>
    <w:p>
      <w:pPr>
        <w:spacing w:after="120" w:before="0" w:line="288"/>
        <w:jc w:val="both"/>
      </w:pPr>
      <w:r>
        <w:rPr>
          <w:rFonts w:ascii="Times New Roman" w:cs="Times New Roman" w:eastAsia="Times New Roman" w:hAnsi="Times New Roman"/>
          <w:b/>
          <w:bCs/>
          <w:sz w:val="21"/>
          <w:szCs w:val="21"/>
        </w:rPr>
        <w:t xml:space="preserve">Presentation layer.</w:t>
      </w:r>
      <w:r>
        <w:rPr>
          <w:rFonts w:ascii="Times New Roman" w:cs="Times New Roman" w:eastAsia="Times New Roman" w:hAnsi="Times New Roman"/>
          <w:sz w:val="21"/>
          <w:szCs w:val="21"/>
        </w:rPr>
        <w:t xml:space="preserve"> The interface displays server-confirmed status and avoids presenting mock data as live information. Forms have validation messages and accessible labels, tables have empty states and pagination, and every asynchronous action shows progress and a recoverable error.</w:t>
      </w:r>
    </w:p>
    <w:p>
      <w:pPr>
        <w:spacing w:after="120" w:before="0" w:line="288"/>
        <w:jc w:val="both"/>
      </w:pPr>
      <w:r>
        <w:rPr>
          <w:rFonts w:ascii="Times New Roman" w:cs="Times New Roman" w:eastAsia="Times New Roman" w:hAnsi="Times New Roman"/>
          <w:b/>
          <w:bCs/>
          <w:sz w:val="21"/>
          <w:szCs w:val="21"/>
        </w:rPr>
        <w:t xml:space="preserve">Application and API layer.</w:t>
      </w:r>
      <w:r>
        <w:rPr>
          <w:rFonts w:ascii="Times New Roman" w:cs="Times New Roman" w:eastAsia="Times New Roman" w:hAnsi="Times New Roman"/>
          <w:sz w:val="21"/>
          <w:szCs w:val="21"/>
        </w:rPr>
        <w:t xml:space="preserve"> API routes form the trusted boundary between the browser and protected services. Each route validates request bodies, verifies the session, checks resource ownership and returns only data the user may see. Errors use stable codes and sanitized messages, never stack traces or secrets.</w:t>
      </w:r>
    </w:p>
    <w:p>
      <w:pPr>
        <w:spacing w:after="120" w:before="0" w:line="288"/>
        <w:jc w:val="both"/>
      </w:pPr>
      <w:r>
        <w:rPr>
          <w:rFonts w:ascii="Times New Roman" w:cs="Times New Roman" w:eastAsia="Times New Roman" w:hAnsi="Times New Roman"/>
          <w:b/>
          <w:bCs/>
          <w:sz w:val="21"/>
          <w:szCs w:val="21"/>
        </w:rPr>
        <w:t xml:space="preserve">Workflow engine.</w:t>
      </w:r>
      <w:r>
        <w:rPr>
          <w:rFonts w:ascii="Times New Roman" w:cs="Times New Roman" w:eastAsia="Times New Roman" w:hAnsi="Times New Roman"/>
          <w:sz w:val="21"/>
          <w:szCs w:val="21"/>
        </w:rPr>
        <w:t xml:space="preserve"> The engine interprets a validated definition using a registry of supported triggers, conditions and action handlers. Each handler declares its inputs, outputs, permissions, timeout behavior and whether it can safely be retried. Definitions are versioned, unknown action identifiers are rejected, and AI-generated definitions are proposals, not executable programs.</w:t>
      </w:r>
    </w:p>
    <w:p>
      <w:pPr>
        <w:spacing w:after="120" w:before="0" w:line="288"/>
        <w:jc w:val="both"/>
      </w:pPr>
      <w:r>
        <w:rPr>
          <w:rFonts w:ascii="Times New Roman" w:cs="Times New Roman" w:eastAsia="Times New Roman" w:hAnsi="Times New Roman"/>
          <w:b/>
          <w:bCs/>
          <w:sz w:val="21"/>
          <w:szCs w:val="21"/>
        </w:rPr>
        <w:t xml:space="preserve">Integration adapter layer.</w:t>
      </w:r>
      <w:r>
        <w:rPr>
          <w:rFonts w:ascii="Times New Roman" w:cs="Times New Roman" w:eastAsia="Times New Roman" w:hAnsi="Times New Roman"/>
          <w:sz w:val="21"/>
          <w:szCs w:val="21"/>
        </w:rPr>
        <w:t xml:space="preserve"> Each adapter isolates OAuth details, request formats, pagination, provider errors and response normalization. Workflow logic calls a typed adapter method instead of building arbitrary HTTP requests from model output, and adapters check granted scopes and handle expired or revoked access.</w:t>
      </w:r>
    </w:p>
    <w:p>
      <w:pPr>
        <w:spacing w:after="120" w:before="0" w:line="288"/>
        <w:jc w:val="both"/>
      </w:pPr>
      <w:r>
        <w:rPr>
          <w:rFonts w:ascii="Times New Roman" w:cs="Times New Roman" w:eastAsia="Times New Roman" w:hAnsi="Times New Roman"/>
          <w:b/>
          <w:bCs/>
          <w:sz w:val="21"/>
          <w:szCs w:val="21"/>
        </w:rPr>
        <w:t xml:space="preserve">Data and persistence layer.</w:t>
      </w:r>
      <w:r>
        <w:rPr>
          <w:rFonts w:ascii="Times New Roman" w:cs="Times New Roman" w:eastAsia="Times New Roman" w:hAnsi="Times New Roman"/>
          <w:sz w:val="21"/>
          <w:szCs w:val="21"/>
        </w:rPr>
        <w:t xml:space="preserve"> PostgreSQL stores workflow metadata, run state, approvals and audit events. Migrations define schema evolution, and indexes are added according to query patterns such as listing a user’s recent runs. Secrets are never stored in workflow JSON, result summaries or audit metadata.</w:t>
      </w:r>
    </w:p>
    <w:p>
      <w:pPr>
        <w:spacing w:after="120" w:before="0" w:line="288"/>
        <w:jc w:val="both"/>
      </w:pPr>
      <w:r>
        <w:rPr>
          <w:rFonts w:ascii="Times New Roman" w:cs="Times New Roman" w:eastAsia="Times New Roman" w:hAnsi="Times New Roman"/>
          <w:b/>
          <w:bCs/>
          <w:sz w:val="21"/>
          <w:szCs w:val="21"/>
        </w:rPr>
        <w:t xml:space="preserve">Deployment.</w:t>
      </w:r>
      <w:r>
        <w:rPr>
          <w:rFonts w:ascii="Times New Roman" w:cs="Times New Roman" w:eastAsia="Times New Roman" w:hAnsi="Times New Roman"/>
          <w:sz w:val="21"/>
          <w:szCs w:val="21"/>
        </w:rPr>
        <w:t xml:space="preserve"> The Next.js application may be deployed to Vercel, with Supabase providing authentication and PostgreSQL. LLM and Google credentials are server-side environment variables or held in a secrets manager. Scheduling is not claimed until a persistent worker or managed workflow service is configured and verified.</w:t>
      </w:r>
    </w:p>
    <w:p>
      <w:pPr>
        <w:pStyle w:val="Heading2"/>
        <w:keepNext/>
        <w:spacing w:after="120" w:before="200"/>
      </w:pPr>
      <w:r>
        <w:rPr>
          <w:rFonts w:ascii="Calibri" w:cs="Calibri" w:eastAsia="Calibri" w:hAnsi="Calibri"/>
          <w:b/>
          <w:bCs/>
          <w:color w:val="1F4E79"/>
          <w:sz w:val="26"/>
          <w:szCs w:val="26"/>
        </w:rPr>
        <w:t xml:space="preserve">2.9 Main Functional Modules</w:t>
      </w:r>
    </w:p>
    <w:p>
      <w:pPr>
        <w:keepNext/>
        <w:spacing w:after="80" w:before="120"/>
        <w:jc w:val="center"/>
      </w:pPr>
      <w:r>
        <w:rPr>
          <w:rFonts w:ascii="Times New Roman" w:cs="Times New Roman" w:eastAsia="Times New Roman" w:hAnsi="Times New Roman"/>
          <w:b/>
          <w:bCs/>
          <w:color w:val="1F4E79"/>
          <w:sz w:val="20"/>
          <w:szCs w:val="20"/>
        </w:rPr>
        <w:t xml:space="preserve">Table 2.4: Functional Modules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06"/>
      </w:tblGrid>
      <w:tr>
        <w:trPr>
          <w:cantSplit/>
          <w:tblHeader/>
        </w:trPr>
        <w:tc>
          <w:tcPr>
            <w:tcW w:type="dxa" w:w="9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bCs/>
                <w:color w:val="FFFFFF"/>
                <w:sz w:val="19"/>
                <w:szCs w:val="19"/>
              </w:rPr>
              <w:t xml:space="preserve">No.</w:t>
            </w:r>
          </w:p>
        </w:tc>
        <w:tc>
          <w:tcPr>
            <w:tcW w:type="dxa" w:w="3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Module</w:t>
            </w:r>
          </w:p>
        </w:tc>
        <w:tc>
          <w:tcPr>
            <w:tcW w:type="dxa" w:w="51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Description</w:t>
            </w:r>
          </w:p>
        </w:tc>
      </w:tr>
      <w:tr>
        <w:trPr>
          <w:cantSplit/>
        </w:trPr>
        <w:tc>
          <w:tcPr>
            <w:tcW w:type="dxa" w:w="9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01</w:t>
            </w:r>
          </w:p>
        </w:tc>
        <w:tc>
          <w:tcPr>
            <w:tcW w:type="dxa" w:w="3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Repository Audit and Foundation</w:t>
            </w:r>
          </w:p>
        </w:tc>
        <w:tc>
          <w:tcPr>
            <w:tcW w:type="dxa" w:w="51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Inspect the repository, baseline checks and configuration</w:t>
            </w:r>
          </w:p>
        </w:tc>
      </w:tr>
      <w:tr>
        <w:trPr>
          <w:cantSplit/>
        </w:trPr>
        <w:tc>
          <w:tcPr>
            <w:tcW w:type="dxa" w:w="9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02</w:t>
            </w:r>
          </w:p>
        </w:tc>
        <w:tc>
          <w:tcPr>
            <w:tcW w:type="dxa" w:w="3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Authentication and RLS</w:t>
            </w:r>
          </w:p>
        </w:tc>
        <w:tc>
          <w:tcPr>
            <w:tcW w:type="dxa" w:w="51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Sign-in, protected routes, ownership fields and database policies</w:t>
            </w:r>
          </w:p>
        </w:tc>
      </w:tr>
      <w:tr>
        <w:trPr>
          <w:cantSplit/>
        </w:trPr>
        <w:tc>
          <w:tcPr>
            <w:tcW w:type="dxa" w:w="9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03</w:t>
            </w:r>
          </w:p>
        </w:tc>
        <w:tc>
          <w:tcPr>
            <w:tcW w:type="dxa" w:w="3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Dashboard Overview</w:t>
            </w:r>
          </w:p>
        </w:tc>
        <w:tc>
          <w:tcPr>
            <w:tcW w:type="dxa" w:w="51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Navigation, summary cards, recent workflows and runs</w:t>
            </w:r>
          </w:p>
        </w:tc>
      </w:tr>
      <w:tr>
        <w:trPr>
          <w:cantSplit/>
        </w:trPr>
        <w:tc>
          <w:tcPr>
            <w:tcW w:type="dxa" w:w="9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04</w:t>
            </w:r>
          </w:p>
        </w:tc>
        <w:tc>
          <w:tcPr>
            <w:tcW w:type="dxa" w:w="3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AI Workflow Builder</w:t>
            </w:r>
          </w:p>
        </w:tc>
        <w:tc>
          <w:tcPr>
            <w:tcW w:type="dxa" w:w="51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Server-side LLM requests, schemas, preview, edit, save and approve</w:t>
            </w:r>
          </w:p>
        </w:tc>
      </w:tr>
      <w:tr>
        <w:trPr>
          <w:cantSplit/>
        </w:trPr>
        <w:tc>
          <w:tcPr>
            <w:tcW w:type="dxa" w:w="9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05</w:t>
            </w:r>
          </w:p>
        </w:tc>
        <w:tc>
          <w:tcPr>
            <w:tcW w:type="dxa" w:w="3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Google Integrations</w:t>
            </w:r>
          </w:p>
        </w:tc>
        <w:tc>
          <w:tcPr>
            <w:tcW w:type="dxa" w:w="51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OAuth and adapters for Gmail, Calendar and Sheets</w:t>
            </w:r>
          </w:p>
        </w:tc>
      </w:tr>
      <w:tr>
        <w:trPr>
          <w:cantSplit/>
        </w:trPr>
        <w:tc>
          <w:tcPr>
            <w:tcW w:type="dxa" w:w="9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06</w:t>
            </w:r>
          </w:p>
        </w:tc>
        <w:tc>
          <w:tcPr>
            <w:tcW w:type="dxa" w:w="3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Execution Engine and History</w:t>
            </w:r>
          </w:p>
        </w:tc>
        <w:tc>
          <w:tcPr>
            <w:tcW w:type="dxa" w:w="51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Action handlers, run states, retries, history and detail screens</w:t>
            </w:r>
          </w:p>
        </w:tc>
      </w:tr>
      <w:tr>
        <w:trPr>
          <w:cantSplit/>
        </w:trPr>
        <w:tc>
          <w:tcPr>
            <w:tcW w:type="dxa" w:w="9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07</w:t>
            </w:r>
          </w:p>
        </w:tc>
        <w:tc>
          <w:tcPr>
            <w:tcW w:type="dxa" w:w="3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Security Center</w:t>
            </w:r>
          </w:p>
        </w:tc>
        <w:tc>
          <w:tcPr>
            <w:tcW w:type="dxa" w:w="51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Permissions, approvals, audit events and safe disconnect controls</w:t>
            </w:r>
          </w:p>
        </w:tc>
      </w:tr>
      <w:tr>
        <w:trPr>
          <w:cantSplit/>
        </w:trPr>
        <w:tc>
          <w:tcPr>
            <w:tcW w:type="dxa" w:w="9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center"/>
            </w:pPr>
            <w:r>
              <w:rPr>
                <w:rFonts w:ascii="Times New Roman" w:cs="Times New Roman" w:eastAsia="Times New Roman" w:hAnsi="Times New Roman"/>
                <w:b w:val="false"/>
                <w:bCs w:val="false"/>
                <w:sz w:val="19"/>
                <w:szCs w:val="19"/>
              </w:rPr>
              <w:t xml:space="preserve">08</w:t>
            </w:r>
          </w:p>
        </w:tc>
        <w:tc>
          <w:tcPr>
            <w:tcW w:type="dxa" w:w="3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End-to-End and Production Readiness</w:t>
            </w:r>
          </w:p>
        </w:tc>
        <w:tc>
          <w:tcPr>
            <w:tcW w:type="dxa" w:w="51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Full test run, security review and deployment preparation</w:t>
            </w:r>
          </w:p>
        </w:tc>
      </w:tr>
    </w:tbl>
    <w:p>
      <w:pPr>
        <w:spacing w:after="140"/>
      </w:pPr>
    </w:p>
    <w:p>
      <w:pPr>
        <w:pStyle w:val="Heading2"/>
        <w:keepNext/>
        <w:spacing w:after="120" w:before="200"/>
      </w:pPr>
      <w:r>
        <w:rPr>
          <w:rFonts w:ascii="Calibri" w:cs="Calibri" w:eastAsia="Calibri" w:hAnsi="Calibri"/>
          <w:b/>
          <w:bCs/>
          <w:color w:val="1F4E79"/>
          <w:sz w:val="26"/>
          <w:szCs w:val="26"/>
        </w:rPr>
        <w:t xml:space="preserve">2.10 Functional Requirements</w:t>
      </w:r>
    </w:p>
    <w:p>
      <w:pPr>
        <w:spacing w:after="120" w:before="0" w:line="288"/>
        <w:jc w:val="both"/>
      </w:pPr>
      <w:r>
        <w:rPr>
          <w:rFonts w:ascii="Times New Roman" w:cs="Times New Roman" w:eastAsia="Times New Roman" w:hAnsi="Times New Roman"/>
          <w:b/>
          <w:bCs/>
          <w:sz w:val="21"/>
          <w:szCs w:val="21"/>
        </w:rPr>
        <w:t xml:space="preserve">Dashboard Overview.</w:t>
      </w:r>
      <w:r>
        <w:rPr>
          <w:rFonts w:ascii="Times New Roman" w:cs="Times New Roman" w:eastAsia="Times New Roman" w:hAnsi="Times New Roman"/>
          <w:sz w:val="21"/>
          <w:szCs w:val="21"/>
        </w:rPr>
        <w:t xml:space="preserve"> The overview page presents an at-a-glance summary of workflow activity. All values must come from the authenticated user’s database records rather than hardcoded demonstration values, and the page must not display metrics as current if their source data cannot be retrieved or verified. It also presents recent activity, recent workflows, connection status and a clear action to create a workflow, with loading, empty, error and permission-denied states.</w:t>
      </w:r>
    </w:p>
    <w:p>
      <w:pPr>
        <w:keepNext/>
        <w:spacing w:after="80" w:before="120"/>
        <w:jc w:val="center"/>
      </w:pPr>
      <w:r>
        <w:rPr>
          <w:rFonts w:ascii="Times New Roman" w:cs="Times New Roman" w:eastAsia="Times New Roman" w:hAnsi="Times New Roman"/>
          <w:b/>
          <w:bCs/>
          <w:color w:val="1F4E79"/>
          <w:sz w:val="20"/>
          <w:szCs w:val="20"/>
        </w:rPr>
        <w:t xml:space="preserve">Table 2.5: Candidate Dashboard Metrics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506"/>
      </w:tblGrid>
      <w:tr>
        <w:trPr>
          <w:cantSplit/>
          <w:tblHeader/>
        </w:trPr>
        <w:tc>
          <w:tcPr>
            <w:tcW w:type="dxa" w:w="28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Metric</w:t>
            </w:r>
          </w:p>
        </w:tc>
        <w:tc>
          <w:tcPr>
            <w:tcW w:type="dxa" w:w="65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Source</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Total workflows</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Count of the user’s workflow records</w:t>
            </w:r>
          </w:p>
        </w:tc>
      </w:tr>
      <w:tr>
        <w:trPr>
          <w:cantSplit/>
        </w:trPr>
        <w:tc>
          <w:tcPr>
            <w:tcW w:type="dxa" w:w="2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Successful runs</w:t>
            </w:r>
          </w:p>
        </w:tc>
        <w:tc>
          <w:tcPr>
            <w:tcW w:type="dxa" w:w="65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Count of the user’s runs with a succeeded status</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Failed runs</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Count of the user’s runs with a failed status</w:t>
            </w:r>
          </w:p>
        </w:tc>
      </w:tr>
      <w:tr>
        <w:trPr>
          <w:cantSplit/>
        </w:trPr>
        <w:tc>
          <w:tcPr>
            <w:tcW w:type="dxa" w:w="2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Awaiting approval</w:t>
            </w:r>
          </w:p>
        </w:tc>
        <w:tc>
          <w:tcPr>
            <w:tcW w:type="dxa" w:w="65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Count of runs or workflows waiting for the user’s approval</w:t>
            </w:r>
          </w:p>
        </w:tc>
      </w:tr>
      <w:tr>
        <w:trPr>
          <w:cantSplit/>
        </w:trPr>
        <w:tc>
          <w:tcPr>
            <w:tcW w:type="dxa" w:w="2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Connected integrations</w:t>
            </w:r>
          </w:p>
        </w:tc>
        <w:tc>
          <w:tcPr>
            <w:tcW w:type="dxa" w:w="65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Count of integrations with a verified connected status</w:t>
            </w:r>
          </w:p>
        </w:tc>
      </w:tr>
    </w:tbl>
    <w:p>
      <w:pPr>
        <w:spacing w:after="140"/>
      </w:pPr>
    </w:p>
    <w:p>
      <w:pPr>
        <w:spacing w:after="120" w:before="0" w:line="288"/>
        <w:jc w:val="both"/>
      </w:pPr>
      <w:r>
        <w:rPr>
          <w:rFonts w:ascii="Times New Roman" w:cs="Times New Roman" w:eastAsia="Times New Roman" w:hAnsi="Times New Roman"/>
          <w:b/>
          <w:bCs/>
          <w:sz w:val="21"/>
          <w:szCs w:val="21"/>
        </w:rPr>
        <w:t xml:space="preserve">AI Workflow Builder.</w:t>
      </w:r>
      <w:r>
        <w:rPr>
          <w:rFonts w:ascii="Times New Roman" w:cs="Times New Roman" w:eastAsia="Times New Roman" w:hAnsi="Times New Roman"/>
          <w:sz w:val="21"/>
          <w:szCs w:val="21"/>
        </w:rPr>
        <w:t xml:space="preserve"> The builder accepts a natural-language request and sends it to an LLM through server-side code. The response must conform to a versioned workflow schema. A proposal may contain a trigger, conditions and registered actions, but must not contain arbitrary code, raw SQL, shell commands or unrestricted URLs. The user reviews the steps, sees missing integrations and permission requirements, edits the proposal, and chooses to save or cancel. Execution is a separate step from generation, and a proposal with an unsupported action, invalid parameter or missing permission must be blocked or clearly flagged.</w:t>
      </w:r>
    </w:p>
    <w:p>
      <w:pPr>
        <w:spacing w:after="120" w:before="0" w:line="288"/>
        <w:jc w:val="both"/>
      </w:pPr>
      <w:r>
        <w:rPr>
          <w:rFonts w:ascii="Times New Roman" w:cs="Times New Roman" w:eastAsia="Times New Roman" w:hAnsi="Times New Roman"/>
          <w:b/>
          <w:bCs/>
          <w:sz w:val="21"/>
          <w:szCs w:val="21"/>
        </w:rPr>
        <w:t xml:space="preserve">Integration Manager.</w:t>
      </w:r>
      <w:r>
        <w:rPr>
          <w:rFonts w:ascii="Times New Roman" w:cs="Times New Roman" w:eastAsia="Times New Roman" w:hAnsi="Times New Roman"/>
          <w:sz w:val="21"/>
          <w:szCs w:val="21"/>
        </w:rPr>
        <w:t xml:space="preserve"> The manager lists Gmail, Google Calendar and Google Sheets with connection state, provider identity, granted scopes, last verification status and connect, reconnect and disconnect actions. It must never display access tokens, refresh tokens, client secrets or other credentials. OAuth implementation validates state, uses exact redirect URIs, requests only required scopes, protects callback routes and handles revocation and expired credentials.</w:t>
      </w:r>
    </w:p>
    <w:p>
      <w:pPr>
        <w:spacing w:after="120" w:before="0" w:line="288"/>
        <w:jc w:val="both"/>
      </w:pPr>
      <w:r>
        <w:rPr>
          <w:rFonts w:ascii="Times New Roman" w:cs="Times New Roman" w:eastAsia="Times New Roman" w:hAnsi="Times New Roman"/>
          <w:b/>
          <w:bCs/>
          <w:sz w:val="21"/>
          <w:szCs w:val="21"/>
        </w:rPr>
        <w:t xml:space="preserve">Execution History.</w:t>
      </w:r>
      <w:r>
        <w:rPr>
          <w:rFonts w:ascii="Times New Roman" w:cs="Times New Roman" w:eastAsia="Times New Roman" w:hAnsi="Times New Roman"/>
          <w:sz w:val="21"/>
          <w:szCs w:val="21"/>
        </w:rPr>
        <w:t xml:space="preserve"> The history displays workflow name, run identifier, status, timestamps, duration when measurable and a sanitized summary. Useful statuses are queued, running, succeeded, failed, cancelled and awaiting approval, provided each is implemented and consistently persisted. Run details show step outcomes and safe diagnostics; error messages are redacted, and retry controls follow a documented policy that never blindly repeats non-idempotent operations.</w:t>
      </w:r>
    </w:p>
    <w:p>
      <w:pPr>
        <w:spacing w:after="120" w:before="0" w:line="288"/>
        <w:jc w:val="both"/>
      </w:pPr>
      <w:r>
        <w:rPr>
          <w:rFonts w:ascii="Times New Roman" w:cs="Times New Roman" w:eastAsia="Times New Roman" w:hAnsi="Times New Roman"/>
          <w:b/>
          <w:bCs/>
          <w:sz w:val="21"/>
          <w:szCs w:val="21"/>
        </w:rPr>
        <w:t xml:space="preserve">Security Center.</w:t>
      </w:r>
      <w:r>
        <w:rPr>
          <w:rFonts w:ascii="Times New Roman" w:cs="Times New Roman" w:eastAsia="Times New Roman" w:hAnsi="Times New Roman"/>
          <w:sz w:val="21"/>
          <w:szCs w:val="21"/>
        </w:rPr>
        <w:t xml:space="preserve"> The Security Center presents connected accounts, permission summaries, approval records, security-related audit events and configuration checks. It distinguishes verified, warning and unverified states, and must not invent a security score or claim a control is enabled without evidence. Disconnect and revoke actions use confirmation dialogs that explain their effects.</w:t>
      </w:r>
    </w:p>
    <w:p>
      <w:pPr>
        <w:keepNext/>
        <w:spacing w:after="80" w:before="120"/>
        <w:jc w:val="center"/>
      </w:pPr>
      <w:r>
        <w:rPr>
          <w:rFonts w:ascii="Times New Roman" w:cs="Times New Roman" w:eastAsia="Times New Roman" w:hAnsi="Times New Roman"/>
          <w:b/>
          <w:bCs/>
          <w:color w:val="1F4E79"/>
          <w:sz w:val="20"/>
          <w:szCs w:val="20"/>
        </w:rPr>
        <w:t xml:space="preserve">Table 2.6: Non-Functional Requirements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cantSplit/>
          <w:tblHeader/>
        </w:trPr>
        <w:tc>
          <w:tcPr>
            <w:tcW w:type="dxa" w:w="24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Quality</w:t>
            </w:r>
          </w:p>
        </w:tc>
        <w:tc>
          <w:tcPr>
            <w:tcW w:type="dxa" w:w="69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Requirement</w:t>
            </w:r>
          </w:p>
        </w:tc>
      </w:tr>
      <w:tr>
        <w:trPr>
          <w:cantSplit/>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Usability</w:t>
            </w:r>
          </w:p>
        </w:tc>
        <w:tc>
          <w:tcPr>
            <w:tcW w:type="dxa" w:w="6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Clear labels, predictable navigation, accessible forms, useful empty and error states</w:t>
            </w:r>
          </w:p>
        </w:tc>
      </w:tr>
      <w:tr>
        <w:trPr>
          <w:cantSplit/>
        </w:trPr>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Performance</w:t>
            </w:r>
          </w:p>
        </w:tc>
        <w:tc>
          <w:tcPr>
            <w:tcW w:type="dxa" w:w="6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Avoid unnecessary client bundles; use pagination or limits for long histories</w:t>
            </w:r>
          </w:p>
        </w:tc>
      </w:tr>
      <w:tr>
        <w:trPr>
          <w:cantSplit/>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Reliability</w:t>
            </w:r>
          </w:p>
        </w:tc>
        <w:tc>
          <w:tcPr>
            <w:tcW w:type="dxa" w:w="6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Persist run state and handle external API failures</w:t>
            </w:r>
          </w:p>
        </w:tc>
      </w:tr>
      <w:tr>
        <w:trPr>
          <w:cantSplit/>
        </w:trPr>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Security</w:t>
            </w:r>
          </w:p>
        </w:tc>
        <w:tc>
          <w:tcPr>
            <w:tcW w:type="dxa" w:w="6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Least privilege, server-side authorization, RLS, secret management, rate limits, timeouts, safe logging</w:t>
            </w:r>
          </w:p>
        </w:tc>
      </w:tr>
      <w:tr>
        <w:trPr>
          <w:cantSplit/>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Maintainability</w:t>
            </w:r>
          </w:p>
        </w:tc>
        <w:tc>
          <w:tcPr>
            <w:tcW w:type="dxa" w:w="6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Separate feature modules; validate external data at system boundaries</w:t>
            </w:r>
          </w:p>
        </w:tc>
      </w:tr>
      <w:tr>
        <w:trPr>
          <w:cantSplit/>
        </w:trPr>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Accessibility</w:t>
            </w:r>
          </w:p>
        </w:tc>
        <w:tc>
          <w:tcPr>
            <w:tcW w:type="dxa" w:w="6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Keyboard navigation, visible focus, adequate contrast, status labels that do not rely on color alone</w:t>
            </w:r>
          </w:p>
        </w:tc>
      </w:tr>
    </w:tbl>
    <w:p>
      <w:pPr>
        <w:spacing w:after="140"/>
      </w:pPr>
    </w:p>
    <w:p>
      <w:pPr>
        <w:pStyle w:val="Heading2"/>
        <w:keepNext/>
        <w:pageBreakBefore/>
        <w:spacing w:after="120" w:before="200"/>
      </w:pPr>
      <w:r>
        <w:rPr>
          <w:rFonts w:ascii="Calibri" w:cs="Calibri" w:eastAsia="Calibri" w:hAnsi="Calibri"/>
          <w:b/>
          <w:bCs/>
          <w:color w:val="1F4E79"/>
          <w:sz w:val="26"/>
          <w:szCs w:val="26"/>
        </w:rPr>
        <w:t xml:space="preserve">2.11 Development Tools and Technologies</w:t>
      </w:r>
    </w:p>
    <w:p>
      <w:pPr>
        <w:spacing w:after="120" w:before="0" w:line="288"/>
        <w:jc w:val="both"/>
      </w:pPr>
      <w:r>
        <w:rPr>
          <w:rFonts w:ascii="Times New Roman" w:cs="Times New Roman" w:eastAsia="Times New Roman" w:hAnsi="Times New Roman"/>
          <w:sz w:val="21"/>
          <w:szCs w:val="21"/>
        </w:rPr>
        <w:t xml:space="preserve">The technology stack combines a TypeScript web front end, server-side route handlers, a managed PostgreSQL database with authentication, an LLM API and Google APIs. Each technology is described on the pages that follow.</w:t>
      </w:r>
    </w:p>
    <w:p>
      <w:pPr>
        <w:keepNext/>
        <w:spacing w:after="60" w:before="120"/>
        <w:jc w:val="center"/>
      </w:pPr>
      <w:r>
        <w:drawing>
          <wp:inline distT="0" distB="0" distL="0" distR="0">
            <wp:extent cx="4610100" cy="3238500"/>
            <wp:effectExtent t="0" r="0" b="0" l="0"/>
            <wp:docPr id="1" name="fig2_1" descr="Technology Stack Overview" title="Technology Stack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10100" cy="323850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19"/>
          <w:szCs w:val="19"/>
        </w:rPr>
        <w:t xml:space="preserve">Figure 2.2: Technology Stack Overview</w:t>
      </w:r>
    </w:p>
    <w:p>
      <w:pPr>
        <w:keepNext/>
        <w:spacing w:after="80" w:before="120"/>
        <w:jc w:val="center"/>
      </w:pPr>
      <w:r>
        <w:rPr>
          <w:rFonts w:ascii="Times New Roman" w:cs="Times New Roman" w:eastAsia="Times New Roman" w:hAnsi="Times New Roman"/>
          <w:b/>
          <w:bCs/>
          <w:color w:val="1F4E79"/>
          <w:sz w:val="20"/>
          <w:szCs w:val="20"/>
        </w:rPr>
        <w:t xml:space="preserve">Table 2.7: Technology Stack</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06"/>
      </w:tblGrid>
      <w:tr>
        <w:trPr>
          <w:cantSplit/>
          <w:tblHeader/>
        </w:trPr>
        <w:tc>
          <w:tcPr>
            <w:tcW w:type="dxa" w:w="17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Area</w:t>
            </w:r>
          </w:p>
        </w:tc>
        <w:tc>
          <w:tcPr>
            <w:tcW w:type="dxa" w:w="24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Technology</w:t>
            </w:r>
          </w:p>
        </w:tc>
        <w:tc>
          <w:tcPr>
            <w:tcW w:type="dxa" w:w="52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Role in the project</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Framework</w:t>
            </w:r>
          </w:p>
        </w:tc>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Next.js, React</w:t>
            </w:r>
          </w:p>
        </w:tc>
        <w:tc>
          <w:tcPr>
            <w:tcW w:type="dxa" w:w="52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Routing, server-side capabilities and reusable UI components</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Language</w:t>
            </w:r>
          </w:p>
        </w:tc>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TypeScript</w:t>
            </w:r>
          </w:p>
        </w:tc>
        <w:tc>
          <w:tcPr>
            <w:tcW w:type="dxa" w:w="52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Static types across workflows, run statuses and payloads</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Styling</w:t>
            </w:r>
          </w:p>
        </w:tc>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Tailwind CSS, shadcn/ui</w:t>
            </w:r>
          </w:p>
        </w:tc>
        <w:tc>
          <w:tcPr>
            <w:tcW w:type="dxa" w:w="52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Consistent, accessible interface components</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Database</w:t>
            </w:r>
          </w:p>
        </w:tc>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Supabase PostgreSQL</w:t>
            </w:r>
          </w:p>
        </w:tc>
        <w:tc>
          <w:tcPr>
            <w:tcW w:type="dxa" w:w="52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Workflows, integrations, runs, approvals and audit events</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Identity</w:t>
            </w:r>
          </w:p>
        </w:tc>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Supabase Auth, RLS</w:t>
            </w:r>
          </w:p>
        </w:tc>
        <w:tc>
          <w:tcPr>
            <w:tcW w:type="dxa" w:w="52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Authenticated identity and row-level data isolation</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AI</w:t>
            </w:r>
          </w:p>
        </w:tc>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LLM API</w:t>
            </w:r>
          </w:p>
        </w:tc>
        <w:tc>
          <w:tcPr>
            <w:tcW w:type="dxa" w:w="52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Natural-language request to structured workflow proposal</w:t>
            </w:r>
          </w:p>
        </w:tc>
      </w:tr>
      <w:tr>
        <w:trPr>
          <w:cantSplit/>
        </w:trPr>
        <w:tc>
          <w:tcPr>
            <w:tcW w:type="dxa" w:w="17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Integrations</w:t>
            </w:r>
          </w:p>
        </w:tc>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Google OAuth and APIs</w:t>
            </w:r>
          </w:p>
        </w:tc>
        <w:tc>
          <w:tcPr>
            <w:tcW w:type="dxa" w:w="52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Gmail, Calendar and Sheets access with user consent</w:t>
            </w:r>
          </w:p>
        </w:tc>
      </w:tr>
      <w:tr>
        <w:trPr>
          <w:cantSplit/>
        </w:trPr>
        <w:tc>
          <w:tcPr>
            <w:tcW w:type="dxa" w:w="17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Tooling</w:t>
            </w:r>
          </w:p>
        </w:tc>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Git, Vitest, Playwright</w:t>
            </w:r>
          </w:p>
        </w:tc>
        <w:tc>
          <w:tcPr>
            <w:tcW w:type="dxa" w:w="52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Versioning, unit and end-to-end testing</w:t>
            </w:r>
          </w:p>
        </w:tc>
      </w:tr>
    </w:tbl>
    <w:p>
      <w:pPr>
        <w:spacing w:after="140"/>
      </w:pPr>
    </w:p>
    <w:p>
      <w:pPr>
        <w:pageBreakBefore/>
        <w:spacing w:after="200" w:before="300"/>
      </w:pPr>
      <w:r>
        <w:rPr>
          <w:rFonts w:ascii="Times New Roman" w:cs="Times New Roman" w:eastAsia="Times New Roman" w:hAnsi="Times New Roman"/>
          <w:b/>
          <w:bCs/>
          <w:sz w:val="21"/>
          <w:szCs w:val="21"/>
        </w:rPr>
        <w:t xml:space="preserve">▪ </w:t>
      </w:r>
      <w:r>
        <w:rPr>
          <w:rFonts w:ascii="Times New Roman" w:cs="Times New Roman" w:eastAsia="Times New Roman" w:hAnsi="Times New Roman"/>
          <w:b/>
          <w:bCs/>
          <w:sz w:val="21"/>
          <w:szCs w:val="21"/>
        </w:rPr>
        <w:t xml:space="preserve">NEXT.JS AND REACT : -</w:t>
      </w:r>
    </w:p>
    <w:p>
      <w:pPr>
        <w:spacing w:after="400" w:before="300"/>
        <w:jc w:val="center"/>
      </w:pPr>
      <w:r>
        <w:drawing>
          <wp:inline distT="0" distB="0" distL="0" distR="0">
            <wp:extent cx="2857500" cy="1247775"/>
            <wp:effectExtent t="0" r="0" b="0" l="0"/>
            <wp:docPr id="1" name="tool1" descr="Next.js and React" title="Next.js and 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247775"/>
                    </a:xfrm>
                    <a:prstGeom prst="rect">
                      <a:avLst/>
                    </a:prstGeom>
                  </pic:spPr>
                </pic:pic>
              </a:graphicData>
            </a:graphic>
          </wp:inline>
        </w:drawing>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Next.js App Router provides the routing structure and server-side capabilities needed for a web dashboard.</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React organizes the interface into reusable pieces such as navigation, metric cards, integration tiles, tables, dialogs and status badges.</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Server and client components are chosen deliberately: browser interaction can use client-side state, while data access and secret-bearing calls stay on the server.</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In this project, route handlers validate inputs and enforce authorization rather than trusting that a page is hidden.</w:t>
      </w:r>
    </w:p>
    <w:p>
      <w:pPr>
        <w:pageBreakBefore/>
        <w:spacing w:after="200" w:before="300"/>
      </w:pPr>
      <w:r>
        <w:rPr>
          <w:rFonts w:ascii="Times New Roman" w:cs="Times New Roman" w:eastAsia="Times New Roman" w:hAnsi="Times New Roman"/>
          <w:b/>
          <w:bCs/>
          <w:sz w:val="21"/>
          <w:szCs w:val="21"/>
        </w:rPr>
        <w:t xml:space="preserve">▪ </w:t>
      </w:r>
      <w:r>
        <w:rPr>
          <w:rFonts w:ascii="Times New Roman" w:cs="Times New Roman" w:eastAsia="Times New Roman" w:hAnsi="Times New Roman"/>
          <w:b/>
          <w:bCs/>
          <w:sz w:val="21"/>
          <w:szCs w:val="21"/>
        </w:rPr>
        <w:t xml:space="preserve">TYPESCRIPT : -</w:t>
      </w:r>
    </w:p>
    <w:p>
      <w:pPr>
        <w:spacing w:after="400" w:before="300"/>
        <w:jc w:val="center"/>
      </w:pPr>
      <w:r>
        <w:drawing>
          <wp:inline distT="0" distB="0" distL="0" distR="0">
            <wp:extent cx="2857500" cy="1247775"/>
            <wp:effectExtent t="0" r="0" b="0" l="0"/>
            <wp:docPr id="1" name="tool2" descr="TypeScript" title="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247775"/>
                    </a:xfrm>
                    <a:prstGeom prst="rect">
                      <a:avLst/>
                    </a:prstGeom>
                  </pic:spPr>
                </pic:pic>
              </a:graphicData>
            </a:graphic>
          </wp:inline>
        </w:drawing>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TypeScript adds static type checking to JavaScript and keeps workflow definitions, integration states, run statuses and form payloads consistent.</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Strict mode is recommended so that uncertain values are handled explicitly.</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Static types do not validate untrusted runtime data: JSON from an LLM, browser request, OAuth provider or external API is still validated with runtime schemas such as Zod.</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In this project, types are inferred from validated schemas where practical.</w:t>
      </w:r>
    </w:p>
    <w:p>
      <w:pPr>
        <w:pageBreakBefore/>
        <w:spacing w:after="200" w:before="300"/>
      </w:pPr>
      <w:r>
        <w:rPr>
          <w:rFonts w:ascii="Times New Roman" w:cs="Times New Roman" w:eastAsia="Times New Roman" w:hAnsi="Times New Roman"/>
          <w:b/>
          <w:bCs/>
          <w:sz w:val="21"/>
          <w:szCs w:val="21"/>
        </w:rPr>
        <w:t xml:space="preserve">▪ </w:t>
      </w:r>
      <w:r>
        <w:rPr>
          <w:rFonts w:ascii="Times New Roman" w:cs="Times New Roman" w:eastAsia="Times New Roman" w:hAnsi="Times New Roman"/>
          <w:b/>
          <w:bCs/>
          <w:sz w:val="21"/>
          <w:szCs w:val="21"/>
        </w:rPr>
        <w:t xml:space="preserve">TAILWIND CSS : -</w:t>
      </w:r>
    </w:p>
    <w:p>
      <w:pPr>
        <w:spacing w:after="400" w:before="300"/>
        <w:jc w:val="center"/>
      </w:pPr>
      <w:r>
        <w:drawing>
          <wp:inline distT="0" distB="0" distL="0" distR="0">
            <wp:extent cx="2857500" cy="1247775"/>
            <wp:effectExtent t="0" r="0" b="0" l="0"/>
            <wp:docPr id="1" name="tool3" descr="Tailwind CSS" title="Tailwind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247775"/>
                    </a:xfrm>
                    <a:prstGeom prst="rect">
                      <a:avLst/>
                    </a:prstGeom>
                  </pic:spPr>
                </pic:pic>
              </a:graphicData>
            </a:graphic>
          </wp:inline>
        </w:drawing>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Tailwind CSS provides utility classes for layout, spacing, typography, responsive behavior, borders, colors and focus states.</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Shared design tokens and component conventions keep the dashboard consistent across screens.</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Layouts are tested at desktop, tablet and mobile widths, and disabled, loading, invalid, warning and success states stay readable.</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In this project, Tailwind is used for the responsive, accessible dashboard styling.</w:t>
      </w:r>
    </w:p>
    <w:p>
      <w:pPr>
        <w:pageBreakBefore/>
        <w:spacing w:after="200" w:before="300"/>
      </w:pPr>
      <w:r>
        <w:rPr>
          <w:rFonts w:ascii="Times New Roman" w:cs="Times New Roman" w:eastAsia="Times New Roman" w:hAnsi="Times New Roman"/>
          <w:b/>
          <w:bCs/>
          <w:sz w:val="21"/>
          <w:szCs w:val="21"/>
        </w:rPr>
        <w:t xml:space="preserve">▪ </w:t>
      </w:r>
      <w:r>
        <w:rPr>
          <w:rFonts w:ascii="Times New Roman" w:cs="Times New Roman" w:eastAsia="Times New Roman" w:hAnsi="Times New Roman"/>
          <w:b/>
          <w:bCs/>
          <w:sz w:val="21"/>
          <w:szCs w:val="21"/>
        </w:rPr>
        <w:t xml:space="preserve">SHADCN/UI : -</w:t>
      </w:r>
    </w:p>
    <w:p>
      <w:pPr>
        <w:spacing w:after="400" w:before="300"/>
        <w:jc w:val="center"/>
      </w:pPr>
      <w:r>
        <w:drawing>
          <wp:inline distT="0" distB="0" distL="0" distR="0">
            <wp:extent cx="2857500" cy="1247775"/>
            <wp:effectExtent t="0" r="0" b="0" l="0"/>
            <wp:docPr id="1" name="tool4" descr="shadcn/ui" title="shadcn/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1247775"/>
                    </a:xfrm>
                    <a:prstGeom prst="rect">
                      <a:avLst/>
                    </a:prstGeom>
                  </pic:spPr>
                </pic:pic>
              </a:graphicData>
            </a:graphic>
          </wp:inline>
        </w:drawing>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shadcn/ui supplies reusable, customizable components for a React and Tailwind workflow, such as buttons, inputs, dialogs, tabs, tables, badges, alerts and cards.</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Components are adapted to the product’s design system rather than copied without review.</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Keyboard behavior, labels, focus handling and error messages are confirmed for each component.</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In this project, sensitive actions such as disconnecting an integration or approving a workflow use clear confirmation and consequence text.</w:t>
      </w:r>
    </w:p>
    <w:p>
      <w:pPr>
        <w:pageBreakBefore/>
        <w:spacing w:after="200" w:before="300"/>
      </w:pPr>
      <w:r>
        <w:rPr>
          <w:rFonts w:ascii="Times New Roman" w:cs="Times New Roman" w:eastAsia="Times New Roman" w:hAnsi="Times New Roman"/>
          <w:b/>
          <w:bCs/>
          <w:sz w:val="21"/>
          <w:szCs w:val="21"/>
        </w:rPr>
        <w:t xml:space="preserve">▪ </w:t>
      </w:r>
      <w:r>
        <w:rPr>
          <w:rFonts w:ascii="Times New Roman" w:cs="Times New Roman" w:eastAsia="Times New Roman" w:hAnsi="Times New Roman"/>
          <w:b/>
          <w:bCs/>
          <w:sz w:val="21"/>
          <w:szCs w:val="21"/>
        </w:rPr>
        <w:t xml:space="preserve">SUPABASE POSTGRESQL : -</w:t>
      </w:r>
    </w:p>
    <w:p>
      <w:pPr>
        <w:spacing w:after="400" w:before="300"/>
        <w:jc w:val="center"/>
      </w:pPr>
      <w:r>
        <w:drawing>
          <wp:inline distT="0" distB="0" distL="0" distR="0">
            <wp:extent cx="2857500" cy="1247775"/>
            <wp:effectExtent t="0" r="0" b="0" l="0"/>
            <wp:docPr id="1" name="tool5" descr="Supabase PostgreSQL" title="Supabase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1247775"/>
                    </a:xfrm>
                    <a:prstGeom prst="rect">
                      <a:avLst/>
                    </a:prstGeom>
                  </pic:spPr>
                </pic:pic>
              </a:graphicData>
            </a:graphic>
          </wp:inline>
        </w:drawing>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Supabase provides a hosted PostgreSQL database and authentication services.</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PostgreSQL stores workflow definitions, integration metadata, run history, approval records and audit events.</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Schema changes are tracked through versioned migrations and reviewed before production.</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A service-role key bypasses RLS and must remain server-only; user-facing access uses a verified user session and RLS policies.</w:t>
      </w:r>
    </w:p>
    <w:p>
      <w:pPr>
        <w:pageBreakBefore/>
        <w:spacing w:after="200" w:before="300"/>
      </w:pPr>
      <w:r>
        <w:rPr>
          <w:rFonts w:ascii="Times New Roman" w:cs="Times New Roman" w:eastAsia="Times New Roman" w:hAnsi="Times New Roman"/>
          <w:b/>
          <w:bCs/>
          <w:sz w:val="21"/>
          <w:szCs w:val="21"/>
        </w:rPr>
        <w:t xml:space="preserve">▪ </w:t>
      </w:r>
      <w:r>
        <w:rPr>
          <w:rFonts w:ascii="Times New Roman" w:cs="Times New Roman" w:eastAsia="Times New Roman" w:hAnsi="Times New Roman"/>
          <w:b/>
          <w:bCs/>
          <w:sz w:val="21"/>
          <w:szCs w:val="21"/>
        </w:rPr>
        <w:t xml:space="preserve">SUPABASE AUTH AND RLS : -</w:t>
      </w:r>
    </w:p>
    <w:p>
      <w:pPr>
        <w:spacing w:after="400" w:before="300"/>
        <w:jc w:val="center"/>
      </w:pPr>
      <w:r>
        <w:drawing>
          <wp:inline distT="0" distB="0" distL="0" distR="0">
            <wp:extent cx="2857500" cy="1247775"/>
            <wp:effectExtent t="0" r="0" b="0" l="0"/>
            <wp:docPr id="1" name="tool6" descr="Supabase Auth and RLS" title="Supabase Auth and 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1247775"/>
                    </a:xfrm>
                    <a:prstGeom prst="rect">
                      <a:avLst/>
                    </a:prstGeom>
                  </pic:spPr>
                </pic:pic>
              </a:graphicData>
            </a:graphic>
          </wp:inline>
        </w:drawing>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Supabase Auth identifies the user, while Row Level Security policies constrain which rows the database lets that user read or modify.</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Each private table needs explicit policies for the relevant operations, and ownership is derived from the authenticated identity rather than a client-supplied field.</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RLS does not replace server-side authorization; the application still checks that a workflow belongs to the current user.</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Tests verify anonymous denial and cross-user read and write prevention, including attempts to change ownership.</w:t>
      </w:r>
    </w:p>
    <w:p>
      <w:pPr>
        <w:pageBreakBefore/>
        <w:spacing w:after="200" w:before="300"/>
      </w:pPr>
      <w:r>
        <w:rPr>
          <w:rFonts w:ascii="Times New Roman" w:cs="Times New Roman" w:eastAsia="Times New Roman" w:hAnsi="Times New Roman"/>
          <w:b/>
          <w:bCs/>
          <w:sz w:val="21"/>
          <w:szCs w:val="21"/>
        </w:rPr>
        <w:t xml:space="preserve">▪ </w:t>
      </w:r>
      <w:r>
        <w:rPr>
          <w:rFonts w:ascii="Times New Roman" w:cs="Times New Roman" w:eastAsia="Times New Roman" w:hAnsi="Times New Roman"/>
          <w:b/>
          <w:bCs/>
          <w:sz w:val="21"/>
          <w:szCs w:val="21"/>
        </w:rPr>
        <w:t xml:space="preserve">LLM API INTEGRATION : -</w:t>
      </w:r>
    </w:p>
    <w:p>
      <w:pPr>
        <w:spacing w:after="400" w:before="300"/>
        <w:jc w:val="center"/>
      </w:pPr>
      <w:r>
        <w:drawing>
          <wp:inline distT="0" distB="0" distL="0" distR="0">
            <wp:extent cx="2857500" cy="1247775"/>
            <wp:effectExtent t="0" r="0" b="0" l="0"/>
            <wp:docPr id="1" name="tool7" descr="LLM API Integration" title="LLM API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1247775"/>
                    </a:xfrm>
                    <a:prstGeom prst="rect">
                      <a:avLst/>
                    </a:prstGeom>
                  </pic:spPr>
                </pic:pic>
              </a:graphicData>
            </a:graphic>
          </wp:inline>
        </w:drawing>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The LLM converts natural-language instructions into a structured workflow proposal.</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Requests contain only the context needed for generation; secrets, refresh tokens and unnecessary private content are never included in prompts.</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Model output is untrusted: schema versions, action identifiers, parameter types, limits and required permissions are validated, and generated source code is never executed.</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Timeouts, rate limits, malformed output, provider errors and model changes are handled with clear error states.</w:t>
      </w:r>
    </w:p>
    <w:p>
      <w:pPr>
        <w:pageBreakBefore/>
        <w:spacing w:after="200" w:before="300"/>
      </w:pPr>
      <w:r>
        <w:rPr>
          <w:rFonts w:ascii="Times New Roman" w:cs="Times New Roman" w:eastAsia="Times New Roman" w:hAnsi="Times New Roman"/>
          <w:b/>
          <w:bCs/>
          <w:sz w:val="21"/>
          <w:szCs w:val="21"/>
        </w:rPr>
        <w:t xml:space="preserve">▪ </w:t>
      </w:r>
      <w:r>
        <w:rPr>
          <w:rFonts w:ascii="Times New Roman" w:cs="Times New Roman" w:eastAsia="Times New Roman" w:hAnsi="Times New Roman"/>
          <w:b/>
          <w:bCs/>
          <w:sz w:val="21"/>
          <w:szCs w:val="21"/>
        </w:rPr>
        <w:t xml:space="preserve">GOOGLE OAUTH AND APIS : -</w:t>
      </w:r>
    </w:p>
    <w:p>
      <w:pPr>
        <w:spacing w:after="400" w:before="300"/>
        <w:jc w:val="center"/>
      </w:pPr>
      <w:r>
        <w:drawing>
          <wp:inline distT="0" distB="0" distL="0" distR="0">
            <wp:extent cx="2857500" cy="1247775"/>
            <wp:effectExtent t="0" r="0" b="0" l="0"/>
            <wp:docPr id="1" name="tool8" descr="Google OAuth and APIs" title="Google OAuth and 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1247775"/>
                    </a:xfrm>
                    <a:prstGeom prst="rect">
                      <a:avLst/>
                    </a:prstGeom>
                  </pic:spPr>
                </pic:pic>
              </a:graphicData>
            </a:graphic>
          </wp:inline>
        </w:drawing>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Google OAuth provides user consent for the application to access permitted resources; the exact scope list depends on the feature.</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OAuth state validation, exact redirect URIs, secure token handling and revocation support are required.</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Tokens stay on the server and authorization headers are redacted from logs.</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Dedicated test accounts are used, and broad scopes are avoided until their necessity has been justified.</w:t>
      </w:r>
    </w:p>
    <w:p>
      <w:pPr>
        <w:pageBreakBefore/>
        <w:spacing w:after="200" w:before="300"/>
      </w:pPr>
      <w:r>
        <w:rPr>
          <w:rFonts w:ascii="Times New Roman" w:cs="Times New Roman" w:eastAsia="Times New Roman" w:hAnsi="Times New Roman"/>
          <w:b/>
          <w:bCs/>
          <w:sz w:val="21"/>
          <w:szCs w:val="21"/>
        </w:rPr>
        <w:t xml:space="preserve">▪ </w:t>
      </w:r>
      <w:r>
        <w:rPr>
          <w:rFonts w:ascii="Times New Roman" w:cs="Times New Roman" w:eastAsia="Times New Roman" w:hAnsi="Times New Roman"/>
          <w:b/>
          <w:bCs/>
          <w:sz w:val="21"/>
          <w:szCs w:val="21"/>
        </w:rPr>
        <w:t xml:space="preserve">DEVELOPMENT AND TEST TOOLS : -</w:t>
      </w:r>
    </w:p>
    <w:p>
      <w:pPr>
        <w:spacing w:after="400" w:before="300"/>
        <w:jc w:val="center"/>
      </w:pPr>
      <w:r>
        <w:drawing>
          <wp:inline distT="0" distB="0" distL="0" distR="0">
            <wp:extent cx="2857500" cy="1247775"/>
            <wp:effectExtent t="0" r="0" b="0" l="0"/>
            <wp:docPr id="1" name="tool9" descr="Development and Test Tools" title="Development and Tes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1247775"/>
                    </a:xfrm>
                    <a:prstGeom prst="rect">
                      <a:avLst/>
                    </a:prstGeom>
                  </pic:spPr>
                </pic:pic>
              </a:graphicData>
            </a:graphic>
          </wp:inline>
        </w:drawing>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Git supports reviewable changes and rollback; Visual Studio Code or Google Antigravity can be used for implementation.</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Vitest tests pure functions and service logic, React Testing Library tests user-visible component behavior, and Playwright exercises full browser flows.</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An isolated Supabase test project or local environment is used for database tests; external provider calls are mocked in unit tests.</w:t>
      </w:r>
    </w:p>
    <w:p>
      <w:pPr>
        <w:spacing w:after="160" w:line="300"/>
        <w:ind w:left="360" w:hanging="360"/>
        <w:jc w:val="both"/>
      </w:pPr>
      <w:r>
        <w:rPr>
          <w:rFonts w:ascii="Segoe UI Symbol" w:cs="Segoe UI Symbol" w:eastAsia="Segoe UI Symbol" w:hAnsi="Segoe UI Symbol"/>
          <w:b/>
          <w:bCs/>
          <w:sz w:val="20"/>
          <w:szCs w:val="20"/>
        </w:rPr>
        <w:t xml:space="preserve">➢  </w:t>
      </w:r>
      <w:r>
        <w:rPr>
          <w:rFonts w:ascii="Times New Roman" w:cs="Times New Roman" w:eastAsia="Times New Roman" w:hAnsi="Times New Roman"/>
          <w:sz w:val="21"/>
          <w:szCs w:val="21"/>
        </w:rPr>
        <w:t xml:space="preserve">Reports state which checks ran and which were blocked; unexecuted tests are never labeled as passed.</w:t>
      </w:r>
    </w:p>
    <w:p>
      <w:pPr>
        <w:pStyle w:val="Heading2"/>
        <w:keepNext/>
        <w:pageBreakBefore/>
        <w:spacing w:after="120" w:before="200"/>
      </w:pPr>
      <w:r>
        <w:rPr>
          <w:rFonts w:ascii="Calibri" w:cs="Calibri" w:eastAsia="Calibri" w:hAnsi="Calibri"/>
          <w:b/>
          <w:bCs/>
          <w:color w:val="1F4E79"/>
          <w:sz w:val="26"/>
          <w:szCs w:val="26"/>
        </w:rPr>
        <w:t xml:space="preserve">2.12 Hardware and Software Requirements</w:t>
      </w:r>
    </w:p>
    <w:p>
      <w:pPr>
        <w:spacing w:after="120" w:before="0" w:line="288"/>
        <w:jc w:val="both"/>
      </w:pPr>
      <w:r>
        <w:rPr>
          <w:rFonts w:ascii="Times New Roman" w:cs="Times New Roman" w:eastAsia="Times New Roman" w:hAnsi="Times New Roman"/>
          <w:sz w:val="21"/>
          <w:szCs w:val="21"/>
        </w:rPr>
        <w:t xml:space="preserve">The following requirements are suggested for developing and running the application on a typical student or office computer.</w:t>
      </w:r>
    </w:p>
    <w:p>
      <w:pPr>
        <w:keepNext/>
        <w:spacing w:after="80" w:before="120"/>
        <w:jc w:val="center"/>
      </w:pPr>
      <w:r>
        <w:rPr>
          <w:rFonts w:ascii="Times New Roman" w:cs="Times New Roman" w:eastAsia="Times New Roman" w:hAnsi="Times New Roman"/>
          <w:b/>
          <w:bCs/>
          <w:color w:val="1F4E79"/>
          <w:sz w:val="20"/>
          <w:szCs w:val="20"/>
        </w:rPr>
        <w:t xml:space="preserve">Table 2.8: Hardware Requirements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cantSplit/>
          <w:tblHeader/>
        </w:trPr>
        <w:tc>
          <w:tcPr>
            <w:tcW w:type="dxa" w:w="26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Component</w:t>
            </w:r>
          </w:p>
        </w:tc>
        <w:tc>
          <w:tcPr>
            <w:tcW w:type="dxa" w:w="67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Requirement</w:t>
            </w:r>
          </w:p>
        </w:tc>
      </w:tr>
      <w:tr>
        <w:trPr>
          <w:cantSplit/>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Processor</w:t>
            </w:r>
          </w:p>
        </w:tc>
        <w:tc>
          <w:tcPr>
            <w:tcW w:type="dxa" w:w="6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Intel Core i3 / equivalent or above</w:t>
            </w:r>
          </w:p>
        </w:tc>
      </w:tr>
      <w:tr>
        <w:trPr>
          <w:cantSplit/>
        </w:trPr>
        <w:tc>
          <w:tcPr>
            <w:tcW w:type="dxa" w:w="26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RAM</w:t>
            </w:r>
          </w:p>
        </w:tc>
        <w:tc>
          <w:tcPr>
            <w:tcW w:type="dxa" w:w="6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8 GB recommended</w:t>
            </w:r>
          </w:p>
        </w:tc>
      </w:tr>
      <w:tr>
        <w:trPr>
          <w:cantSplit/>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Storage</w:t>
            </w:r>
          </w:p>
        </w:tc>
        <w:tc>
          <w:tcPr>
            <w:tcW w:type="dxa" w:w="6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Free space for the repository, dependencies and project files</w:t>
            </w:r>
          </w:p>
        </w:tc>
      </w:tr>
      <w:tr>
        <w:trPr>
          <w:cantSplit/>
        </w:trPr>
        <w:tc>
          <w:tcPr>
            <w:tcW w:type="dxa" w:w="26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Network</w:t>
            </w:r>
          </w:p>
        </w:tc>
        <w:tc>
          <w:tcPr>
            <w:tcW w:type="dxa" w:w="6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Internet access for Supabase, the LLM API and Google APIs</w:t>
            </w:r>
          </w:p>
        </w:tc>
      </w:tr>
    </w:tbl>
    <w:p>
      <w:pPr>
        <w:spacing w:after="140"/>
      </w:pPr>
    </w:p>
    <w:p>
      <w:pPr>
        <w:keepNext/>
        <w:spacing w:after="80" w:before="120"/>
        <w:jc w:val="center"/>
      </w:pPr>
      <w:r>
        <w:rPr>
          <w:rFonts w:ascii="Times New Roman" w:cs="Times New Roman" w:eastAsia="Times New Roman" w:hAnsi="Times New Roman"/>
          <w:b/>
          <w:bCs/>
          <w:color w:val="1F4E79"/>
          <w:sz w:val="20"/>
          <w:szCs w:val="20"/>
        </w:rPr>
        <w:t xml:space="preserve">Table 2.9: Software Requirements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cantSplit/>
          <w:tblHeader/>
        </w:trPr>
        <w:tc>
          <w:tcPr>
            <w:tcW w:type="dxa" w:w="26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Component</w:t>
            </w:r>
          </w:p>
        </w:tc>
        <w:tc>
          <w:tcPr>
            <w:tcW w:type="dxa" w:w="67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Requirement</w:t>
            </w:r>
          </w:p>
        </w:tc>
      </w:tr>
      <w:tr>
        <w:trPr>
          <w:cantSplit/>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Front end</w:t>
            </w:r>
          </w:p>
        </w:tc>
        <w:tc>
          <w:tcPr>
            <w:tcW w:type="dxa" w:w="6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Next.js and React with TypeScript, opened in a modern web browser</w:t>
            </w:r>
          </w:p>
        </w:tc>
      </w:tr>
      <w:tr>
        <w:trPr>
          <w:cantSplit/>
        </w:trPr>
        <w:tc>
          <w:tcPr>
            <w:tcW w:type="dxa" w:w="26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Back end</w:t>
            </w:r>
          </w:p>
        </w:tc>
        <w:tc>
          <w:tcPr>
            <w:tcW w:type="dxa" w:w="6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Next.js route handlers and server-side services</w:t>
            </w:r>
          </w:p>
        </w:tc>
      </w:tr>
      <w:tr>
        <w:trPr>
          <w:cantSplit/>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Database and identity</w:t>
            </w:r>
          </w:p>
        </w:tc>
        <w:tc>
          <w:tcPr>
            <w:tcW w:type="dxa" w:w="6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Supabase PostgreSQL and Supabase Auth with RLS</w:t>
            </w:r>
          </w:p>
        </w:tc>
      </w:tr>
      <w:tr>
        <w:trPr>
          <w:cantSplit/>
        </w:trPr>
        <w:tc>
          <w:tcPr>
            <w:tcW w:type="dxa" w:w="26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External services</w:t>
            </w:r>
          </w:p>
        </w:tc>
        <w:tc>
          <w:tcPr>
            <w:tcW w:type="dxa" w:w="6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LLM API credentials and Google Cloud OAuth credentials (server-side only)</w:t>
            </w:r>
          </w:p>
        </w:tc>
      </w:tr>
      <w:tr>
        <w:trPr>
          <w:cantSplit/>
        </w:trPr>
        <w:tc>
          <w:tcPr>
            <w:tcW w:type="dxa" w:w="26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Development tools</w:t>
            </w:r>
          </w:p>
        </w:tc>
        <w:tc>
          <w:tcPr>
            <w:tcW w:type="dxa" w:w="6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Git, Visual Studio Code or Google Antigravity, Vitest, Playwright</w:t>
            </w:r>
          </w:p>
        </w:tc>
      </w:tr>
      <w:tr>
        <w:trPr>
          <w:cantSplit/>
        </w:trPr>
        <w:tc>
          <w:tcPr>
            <w:tcW w:type="dxa" w:w="26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Deployment (planned)</w:t>
            </w:r>
          </w:p>
        </w:tc>
        <w:tc>
          <w:tcPr>
            <w:tcW w:type="dxa" w:w="6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Vercel</w:t>
            </w:r>
          </w:p>
        </w:tc>
      </w:tr>
    </w:tbl>
    <w:p>
      <w:pPr>
        <w:spacing w:after="140"/>
      </w:pPr>
    </w:p>
    <w:p>
      <w:pPr>
        <w:pStyle w:val="Heading1"/>
        <w:keepNext/>
        <w:pageBreakBefore/>
        <w:spacing w:after="200"/>
      </w:pPr>
      <w:r>
        <w:rPr>
          <w:rFonts w:ascii="Calibri" w:cs="Calibri" w:eastAsia="Calibri" w:hAnsi="Calibri"/>
          <w:b/>
          <w:bCs/>
          <w:color w:val="1F4E79"/>
          <w:sz w:val="32"/>
          <w:szCs w:val="32"/>
        </w:rPr>
        <w:t xml:space="preserve">CHAPTER 3: SYSTEM FLOW DIAGRAM</w:t>
      </w:r>
    </w:p>
    <w:p>
      <w:pPr>
        <w:pStyle w:val="Heading2"/>
        <w:keepNext/>
        <w:spacing w:after="120" w:before="200"/>
      </w:pPr>
      <w:r>
        <w:rPr>
          <w:rFonts w:ascii="Calibri" w:cs="Calibri" w:eastAsia="Calibri" w:hAnsi="Calibri"/>
          <w:b/>
          <w:bCs/>
          <w:color w:val="1F4E79"/>
          <w:sz w:val="26"/>
          <w:szCs w:val="26"/>
        </w:rPr>
        <w:t xml:space="preserve">3.1 Introduction</w:t>
      </w:r>
    </w:p>
    <w:p>
      <w:pPr>
        <w:spacing w:after="120" w:before="0" w:line="288"/>
        <w:jc w:val="both"/>
      </w:pPr>
      <w:r>
        <w:rPr>
          <w:rFonts w:ascii="Times New Roman" w:cs="Times New Roman" w:eastAsia="Times New Roman" w:hAnsi="Times New Roman"/>
          <w:sz w:val="21"/>
          <w:szCs w:val="21"/>
        </w:rPr>
        <w:t xml:space="preserve">A system flow diagram shows the major steps of a system in sequence. In this project, it represents how a user signs in, describes a task, reviews a validated workflow proposal, approves it and reviews the result in the execution history.</w:t>
      </w:r>
    </w:p>
    <w:p>
      <w:pPr>
        <w:pStyle w:val="Heading2"/>
        <w:keepNext/>
        <w:spacing w:after="120" w:before="200"/>
      </w:pPr>
      <w:r>
        <w:rPr>
          <w:rFonts w:ascii="Calibri" w:cs="Calibri" w:eastAsia="Calibri" w:hAnsi="Calibri"/>
          <w:b/>
          <w:bCs/>
          <w:color w:val="1F4E79"/>
          <w:sz w:val="26"/>
          <w:szCs w:val="26"/>
        </w:rPr>
        <w:t xml:space="preserve">3.2 System Flow</w:t>
      </w:r>
    </w:p>
    <w:p>
      <w:pPr>
        <w:keepNext/>
        <w:spacing w:after="60" w:before="120"/>
        <w:jc w:val="center"/>
      </w:pPr>
      <w:r>
        <w:drawing>
          <wp:inline distT="0" distB="0" distL="0" distR="0">
            <wp:extent cx="4067175" cy="6572250"/>
            <wp:effectExtent t="0" r="0" b="0" l="0"/>
            <wp:docPr id="1" name="fig3_1" descr="Workflow Creation Flow" title="Workflow Cre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67175" cy="65722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19"/>
          <w:szCs w:val="19"/>
        </w:rPr>
        <w:t xml:space="preserve">Figure 3.1: Workflow Creation Flow</w:t>
      </w:r>
    </w:p>
    <w:p>
      <w:pPr>
        <w:pStyle w:val="Heading2"/>
        <w:keepNext/>
        <w:pageBreakBefore/>
        <w:spacing w:after="120" w:before="200"/>
      </w:pPr>
      <w:r>
        <w:rPr>
          <w:rFonts w:ascii="Calibri" w:cs="Calibri" w:eastAsia="Calibri" w:hAnsi="Calibri"/>
          <w:b/>
          <w:bCs/>
          <w:color w:val="1F4E79"/>
          <w:sz w:val="26"/>
          <w:szCs w:val="26"/>
        </w:rPr>
        <w:t xml:space="preserve">3.3 Explanation of Flow</w:t>
      </w:r>
    </w:p>
    <w:p>
      <w:pPr>
        <w:pStyle w:val="ListParagraph"/>
        <w:numPr>
          <w:ilvl w:val="0"/>
          <w:numId w:val="3"/>
        </w:numPr>
        <w:spacing w:after="80" w:line="288"/>
        <w:jc w:val="both"/>
      </w:pPr>
      <w:r>
        <w:rPr>
          <w:rFonts w:ascii="Times New Roman" w:cs="Times New Roman" w:eastAsia="Times New Roman" w:hAnsi="Times New Roman"/>
          <w:b/>
          <w:bCs/>
          <w:sz w:val="21"/>
          <w:szCs w:val="21"/>
        </w:rPr>
        <w:t xml:space="preserve">Sign in:</w:t>
      </w:r>
      <w:r>
        <w:rPr>
          <w:rFonts w:ascii="Times New Roman" w:cs="Times New Roman" w:eastAsia="Times New Roman" w:hAnsi="Times New Roman"/>
          <w:sz w:val="21"/>
          <w:szCs w:val="21"/>
        </w:rPr>
        <w:t xml:space="preserve"> the user signs in and opens the AI Workflow Builder; private pages require a verified session.</w:t>
      </w:r>
    </w:p>
    <w:p>
      <w:pPr>
        <w:pStyle w:val="ListParagraph"/>
        <w:numPr>
          <w:ilvl w:val="0"/>
          <w:numId w:val="3"/>
        </w:numPr>
        <w:spacing w:after="80" w:line="288"/>
        <w:jc w:val="both"/>
      </w:pPr>
      <w:r>
        <w:rPr>
          <w:rFonts w:ascii="Times New Roman" w:cs="Times New Roman" w:eastAsia="Times New Roman" w:hAnsi="Times New Roman"/>
          <w:b/>
          <w:bCs/>
          <w:sz w:val="21"/>
          <w:szCs w:val="21"/>
        </w:rPr>
        <w:t xml:space="preserve">Describe the task:</w:t>
      </w:r>
      <w:r>
        <w:rPr>
          <w:rFonts w:ascii="Times New Roman" w:cs="Times New Roman" w:eastAsia="Times New Roman" w:hAnsi="Times New Roman"/>
          <w:sz w:val="21"/>
          <w:szCs w:val="21"/>
        </w:rPr>
        <w:t xml:space="preserve"> the user enters a natural-language request and may select a template or example.</w:t>
      </w:r>
    </w:p>
    <w:p>
      <w:pPr>
        <w:pStyle w:val="ListParagraph"/>
        <w:numPr>
          <w:ilvl w:val="0"/>
          <w:numId w:val="3"/>
        </w:numPr>
        <w:spacing w:after="80" w:line="288"/>
        <w:jc w:val="both"/>
      </w:pPr>
      <w:r>
        <w:rPr>
          <w:rFonts w:ascii="Times New Roman" w:cs="Times New Roman" w:eastAsia="Times New Roman" w:hAnsi="Times New Roman"/>
          <w:b/>
          <w:bCs/>
          <w:sz w:val="21"/>
          <w:szCs w:val="21"/>
        </w:rPr>
        <w:t xml:space="preserve">Build the prompt:</w:t>
      </w:r>
      <w:r>
        <w:rPr>
          <w:rFonts w:ascii="Times New Roman" w:cs="Times New Roman" w:eastAsia="Times New Roman" w:hAnsi="Times New Roman"/>
          <w:sz w:val="21"/>
          <w:szCs w:val="21"/>
        </w:rPr>
        <w:t xml:space="preserve"> the server adds a constrained system instruction and a versioned schema definition, restricting the model to known action identifiers.</w:t>
      </w:r>
    </w:p>
    <w:p>
      <w:pPr>
        <w:pStyle w:val="ListParagraph"/>
        <w:numPr>
          <w:ilvl w:val="0"/>
          <w:numId w:val="3"/>
        </w:numPr>
        <w:spacing w:after="80" w:line="288"/>
        <w:jc w:val="both"/>
      </w:pPr>
      <w:r>
        <w:rPr>
          <w:rFonts w:ascii="Times New Roman" w:cs="Times New Roman" w:eastAsia="Times New Roman" w:hAnsi="Times New Roman"/>
          <w:b/>
          <w:bCs/>
          <w:sz w:val="21"/>
          <w:szCs w:val="21"/>
        </w:rPr>
        <w:t xml:space="preserve">Generate a proposal:</w:t>
      </w:r>
      <w:r>
        <w:rPr>
          <w:rFonts w:ascii="Times New Roman" w:cs="Times New Roman" w:eastAsia="Times New Roman" w:hAnsi="Times New Roman"/>
          <w:sz w:val="21"/>
          <w:szCs w:val="21"/>
        </w:rPr>
        <w:t xml:space="preserve"> the LLM returns a structured workflow proposal, which is treated as untrusted data.</w:t>
      </w:r>
    </w:p>
    <w:p>
      <w:pPr>
        <w:pStyle w:val="ListParagraph"/>
        <w:numPr>
          <w:ilvl w:val="0"/>
          <w:numId w:val="3"/>
        </w:numPr>
        <w:spacing w:after="80" w:line="288"/>
        <w:jc w:val="both"/>
      </w:pPr>
      <w:r>
        <w:rPr>
          <w:rFonts w:ascii="Times New Roman" w:cs="Times New Roman" w:eastAsia="Times New Roman" w:hAnsi="Times New Roman"/>
          <w:b/>
          <w:bCs/>
          <w:sz w:val="21"/>
          <w:szCs w:val="21"/>
        </w:rPr>
        <w:t xml:space="preserve">Validate:</w:t>
      </w:r>
      <w:r>
        <w:rPr>
          <w:rFonts w:ascii="Times New Roman" w:cs="Times New Roman" w:eastAsia="Times New Roman" w:hAnsi="Times New Roman"/>
          <w:sz w:val="21"/>
          <w:szCs w:val="21"/>
        </w:rPr>
        <w:t xml:space="preserve"> runtime validation checks required fields, step ordering, action parameters, size limits and schema version. Invalid output is rejected or regenerated within a bounded retry policy.</w:t>
      </w:r>
    </w:p>
    <w:p>
      <w:pPr>
        <w:pStyle w:val="ListParagraph"/>
        <w:numPr>
          <w:ilvl w:val="0"/>
          <w:numId w:val="3"/>
        </w:numPr>
        <w:spacing w:after="80" w:line="288"/>
        <w:jc w:val="both"/>
      </w:pPr>
      <w:r>
        <w:rPr>
          <w:rFonts w:ascii="Times New Roman" w:cs="Times New Roman" w:eastAsia="Times New Roman" w:hAnsi="Times New Roman"/>
          <w:b/>
          <w:bCs/>
          <w:sz w:val="21"/>
          <w:szCs w:val="21"/>
        </w:rPr>
        <w:t xml:space="preserve">Review:</w:t>
      </w:r>
      <w:r>
        <w:rPr>
          <w:rFonts w:ascii="Times New Roman" w:cs="Times New Roman" w:eastAsia="Times New Roman" w:hAnsi="Times New Roman"/>
          <w:sz w:val="21"/>
          <w:szCs w:val="21"/>
        </w:rPr>
        <w:t xml:space="preserve"> the user sees the steps, missing integrations and permission requirements, and can edit the proposal.</w:t>
      </w:r>
    </w:p>
    <w:p>
      <w:pPr>
        <w:pStyle w:val="ListParagraph"/>
        <w:numPr>
          <w:ilvl w:val="0"/>
          <w:numId w:val="3"/>
        </w:numPr>
        <w:spacing w:after="80" w:line="288"/>
        <w:jc w:val="both"/>
      </w:pPr>
      <w:r>
        <w:rPr>
          <w:rFonts w:ascii="Times New Roman" w:cs="Times New Roman" w:eastAsia="Times New Roman" w:hAnsi="Times New Roman"/>
          <w:b/>
          <w:bCs/>
          <w:sz w:val="21"/>
          <w:szCs w:val="21"/>
        </w:rPr>
        <w:t xml:space="preserve">Save or cancel:</w:t>
      </w:r>
      <w:r>
        <w:rPr>
          <w:rFonts w:ascii="Times New Roman" w:cs="Times New Roman" w:eastAsia="Times New Roman" w:hAnsi="Times New Roman"/>
          <w:sz w:val="21"/>
          <w:szCs w:val="21"/>
        </w:rPr>
        <w:t xml:space="preserve"> a draft can be saved without being executed.</w:t>
      </w:r>
    </w:p>
    <w:p>
      <w:pPr>
        <w:pStyle w:val="ListParagraph"/>
        <w:numPr>
          <w:ilvl w:val="0"/>
          <w:numId w:val="3"/>
        </w:numPr>
        <w:spacing w:after="80" w:line="288"/>
        <w:jc w:val="both"/>
      </w:pPr>
      <w:r>
        <w:rPr>
          <w:rFonts w:ascii="Times New Roman" w:cs="Times New Roman" w:eastAsia="Times New Roman" w:hAnsi="Times New Roman"/>
          <w:b/>
          <w:bCs/>
          <w:sz w:val="21"/>
          <w:szCs w:val="21"/>
        </w:rPr>
        <w:t xml:space="preserve">Approve and execute:</w:t>
      </w:r>
      <w:r>
        <w:rPr>
          <w:rFonts w:ascii="Times New Roman" w:cs="Times New Roman" w:eastAsia="Times New Roman" w:hAnsi="Times New Roman"/>
          <w:sz w:val="21"/>
          <w:szCs w:val="21"/>
        </w:rPr>
        <w:t xml:space="preserve"> before execution the system verifies the owner, workflow version, connections, granted scopes and any action-specific approval; the outcome appears in the execution history.</w:t>
      </w:r>
    </w:p>
    <w:p>
      <w:pPr>
        <w:spacing w:after="60"/>
      </w:pPr>
    </w:p>
    <w:p>
      <w:pPr>
        <w:pStyle w:val="Heading2"/>
        <w:keepNext/>
        <w:spacing w:after="120" w:before="200"/>
      </w:pPr>
      <w:r>
        <w:rPr>
          <w:rFonts w:ascii="Calibri" w:cs="Calibri" w:eastAsia="Calibri" w:hAnsi="Calibri"/>
          <w:b/>
          <w:bCs/>
          <w:color w:val="1F4E79"/>
          <w:sz w:val="26"/>
          <w:szCs w:val="26"/>
        </w:rPr>
        <w:t xml:space="preserve">3.4 Execution State Flow</w:t>
      </w:r>
    </w:p>
    <w:p>
      <w:pPr>
        <w:spacing w:after="120" w:before="0" w:line="288"/>
        <w:jc w:val="both"/>
      </w:pPr>
      <w:r>
        <w:rPr>
          <w:rFonts w:ascii="Times New Roman" w:cs="Times New Roman" w:eastAsia="Times New Roman" w:hAnsi="Times New Roman"/>
          <w:sz w:val="21"/>
          <w:szCs w:val="21"/>
        </w:rPr>
        <w:t xml:space="preserve">A run may move through queued, running, awaiting approval, succeeded, failed or cancelled states, where those states are implemented. State transitions are explicit and persisted, and invalid transitions are rejected to prevent inconsistent history.</w:t>
      </w:r>
    </w:p>
    <w:p>
      <w:pPr>
        <w:keepNext/>
        <w:spacing w:after="60" w:before="120"/>
        <w:jc w:val="center"/>
      </w:pPr>
      <w:r>
        <w:drawing>
          <wp:inline distT="0" distB="0" distL="0" distR="0">
            <wp:extent cx="4476750" cy="2095500"/>
            <wp:effectExtent t="0" r="0" b="0" l="0"/>
            <wp:docPr id="1" name="fig3_2" descr="Simplified Run States" title="Simplified Ru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209550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19"/>
          <w:szCs w:val="19"/>
        </w:rPr>
        <w:t xml:space="preserve">Figure 3.2: Simplified Run States</w:t>
      </w:r>
    </w:p>
    <w:p>
      <w:pPr>
        <w:spacing w:after="120" w:before="0" w:line="288"/>
        <w:jc w:val="both"/>
      </w:pPr>
      <w:r>
        <w:rPr>
          <w:rFonts w:ascii="Times New Roman" w:cs="Times New Roman" w:eastAsia="Times New Roman" w:hAnsi="Times New Roman"/>
          <w:sz w:val="21"/>
          <w:szCs w:val="21"/>
        </w:rPr>
        <w:t xml:space="preserve">Each run has a unique identifier. Idempotency keys can prevent duplicate processing for supported actions, and timeouts, retry limits and concurrency limits reduce resource exhaustion. A retry occurs only when the action’s behavior makes retrying safe or when the user explicitly confirms it.</w:t>
      </w:r>
    </w:p>
    <w:p>
      <w:pPr>
        <w:pStyle w:val="Heading1"/>
        <w:keepNext/>
        <w:pageBreakBefore/>
        <w:spacing w:after="200"/>
      </w:pPr>
      <w:r>
        <w:rPr>
          <w:rFonts w:ascii="Calibri" w:cs="Calibri" w:eastAsia="Calibri" w:hAnsi="Calibri"/>
          <w:b/>
          <w:bCs/>
          <w:color w:val="1F4E79"/>
          <w:sz w:val="32"/>
          <w:szCs w:val="32"/>
        </w:rPr>
        <w:t xml:space="preserve">CHAPTER 4: DATA FLOW DIAGRAM</w:t>
      </w:r>
    </w:p>
    <w:p>
      <w:pPr>
        <w:pStyle w:val="Heading2"/>
        <w:keepNext/>
        <w:spacing w:after="120" w:before="200"/>
      </w:pPr>
      <w:r>
        <w:rPr>
          <w:rFonts w:ascii="Calibri" w:cs="Calibri" w:eastAsia="Calibri" w:hAnsi="Calibri"/>
          <w:b/>
          <w:bCs/>
          <w:color w:val="1F4E79"/>
          <w:sz w:val="26"/>
          <w:szCs w:val="26"/>
        </w:rPr>
        <w:t xml:space="preserve">4.1 Definition</w:t>
      </w:r>
    </w:p>
    <w:p>
      <w:pPr>
        <w:spacing w:after="120" w:before="0" w:line="288"/>
        <w:jc w:val="both"/>
      </w:pPr>
      <w:r>
        <w:rPr>
          <w:rFonts w:ascii="Times New Roman" w:cs="Times New Roman" w:eastAsia="Times New Roman" w:hAnsi="Times New Roman"/>
          <w:sz w:val="21"/>
          <w:szCs w:val="21"/>
        </w:rPr>
        <w:t xml:space="preserve">A Data Flow Diagram (DFD) is a visual representation of how data enters a system, is processed, is stored and is returned to users. It helps explain the system’s major processes and data movement. The diagrams in this chapter are derived from the architecture and data design described in this report.</w:t>
      </w:r>
    </w:p>
    <w:p>
      <w:pPr>
        <w:pStyle w:val="Heading2"/>
        <w:keepNext/>
        <w:spacing w:after="120" w:before="200"/>
      </w:pPr>
      <w:r>
        <w:rPr>
          <w:rFonts w:ascii="Calibri" w:cs="Calibri" w:eastAsia="Calibri" w:hAnsi="Calibri"/>
          <w:b/>
          <w:bCs/>
          <w:color w:val="1F4E79"/>
          <w:sz w:val="26"/>
          <w:szCs w:val="26"/>
        </w:rPr>
        <w:t xml:space="preserve">4.2 DFD Level 0 — Context Diagram</w:t>
      </w:r>
    </w:p>
    <w:p>
      <w:pPr>
        <w:spacing w:after="120" w:before="0" w:line="288"/>
        <w:jc w:val="both"/>
      </w:pPr>
      <w:r>
        <w:rPr>
          <w:rFonts w:ascii="Times New Roman" w:cs="Times New Roman" w:eastAsia="Times New Roman" w:hAnsi="Times New Roman"/>
          <w:sz w:val="21"/>
          <w:szCs w:val="21"/>
        </w:rPr>
        <w:t xml:space="preserve">The context diagram treats FlowPilot as one main process. The user sends workflow requests and approvals, and receives proposals, run history and security status. The system sends minimal prompt context to the LLM provider and receives an untrusted structured proposal, and it makes approved calls to Google APIs and receives only permitted data and results.</w:t>
      </w:r>
    </w:p>
    <w:p>
      <w:pPr>
        <w:keepNext/>
        <w:spacing w:after="60" w:before="120"/>
        <w:jc w:val="center"/>
      </w:pPr>
      <w:r>
        <w:drawing>
          <wp:inline distT="0" distB="0" distL="0" distR="0">
            <wp:extent cx="4743450" cy="2667000"/>
            <wp:effectExtent t="0" r="0" b="0" l="0"/>
            <wp:docPr id="1" name="fig4_1" descr="DFD Level 0 — Context Diagram" title="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43450" cy="266700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19"/>
          <w:szCs w:val="19"/>
        </w:rPr>
        <w:t xml:space="preserve">Figure 4.1: DFD Level 0 — Context Diagram</w:t>
      </w:r>
    </w:p>
    <w:p>
      <w:pPr>
        <w:pStyle w:val="Heading2"/>
        <w:keepNext/>
        <w:spacing w:after="120" w:before="200"/>
      </w:pPr>
      <w:r>
        <w:rPr>
          <w:rFonts w:ascii="Calibri" w:cs="Calibri" w:eastAsia="Calibri" w:hAnsi="Calibri"/>
          <w:b/>
          <w:bCs/>
          <w:color w:val="1F4E79"/>
          <w:sz w:val="26"/>
          <w:szCs w:val="26"/>
        </w:rPr>
        <w:t xml:space="preserve">4.3 DFD Level 1</w:t>
      </w:r>
    </w:p>
    <w:p>
      <w:pPr>
        <w:spacing w:after="120" w:before="0" w:line="288"/>
        <w:jc w:val="both"/>
      </w:pPr>
      <w:r>
        <w:rPr>
          <w:rFonts w:ascii="Times New Roman" w:cs="Times New Roman" w:eastAsia="Times New Roman" w:hAnsi="Times New Roman"/>
          <w:sz w:val="21"/>
          <w:szCs w:val="21"/>
        </w:rPr>
        <w:t xml:space="preserve">The Level 1 diagram divides the system into five main processes: authentication and session handling, workflow generation, integration management, workflow execution, and audit and security reporting. The processes use four data stores: workflows (D1), integrations (D2), execution runs (D3) and approvals and audit events (D4).</w:t>
      </w:r>
    </w:p>
    <w:p>
      <w:pPr>
        <w:keepNext/>
        <w:spacing w:after="60" w:before="120"/>
        <w:jc w:val="center"/>
      </w:pPr>
      <w:r>
        <w:drawing>
          <wp:inline distT="0" distB="0" distL="0" distR="0">
            <wp:extent cx="4762500" cy="4467225"/>
            <wp:effectExtent t="0" r="0" b="0" l="0"/>
            <wp:docPr id="1" name="fig4_2" descr="DFD Level 1" title="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4467225"/>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19"/>
          <w:szCs w:val="19"/>
        </w:rPr>
        <w:t xml:space="preserve">Figure 4.2: DFD Level 1</w:t>
      </w:r>
    </w:p>
    <w:p>
      <w:pPr>
        <w:pStyle w:val="Heading2"/>
        <w:keepNext/>
        <w:pageBreakBefore/>
        <w:spacing w:after="120" w:before="200"/>
      </w:pPr>
      <w:r>
        <w:rPr>
          <w:rFonts w:ascii="Calibri" w:cs="Calibri" w:eastAsia="Calibri" w:hAnsi="Calibri"/>
          <w:b/>
          <w:bCs/>
          <w:color w:val="1F4E79"/>
          <w:sz w:val="26"/>
          <w:szCs w:val="26"/>
        </w:rPr>
        <w:t xml:space="preserve">4.4 Main Processes</w:t>
      </w:r>
    </w:p>
    <w:p>
      <w:pPr>
        <w:keepNext/>
        <w:spacing w:after="80" w:before="120"/>
        <w:jc w:val="center"/>
      </w:pPr>
      <w:r>
        <w:rPr>
          <w:rFonts w:ascii="Times New Roman" w:cs="Times New Roman" w:eastAsia="Times New Roman" w:hAnsi="Times New Roman"/>
          <w:b/>
          <w:bCs/>
          <w:color w:val="1F4E79"/>
          <w:sz w:val="20"/>
          <w:szCs w:val="20"/>
        </w:rPr>
        <w:t xml:space="preserve">Table 4.1: Main Processes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06"/>
      </w:tblGrid>
      <w:tr>
        <w:trPr>
          <w:cantSplit/>
          <w:tblHeader/>
        </w:trPr>
        <w:tc>
          <w:tcPr>
            <w:tcW w:type="dxa" w:w="9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bCs/>
                <w:color w:val="FFFFFF"/>
                <w:sz w:val="19"/>
                <w:szCs w:val="19"/>
              </w:rPr>
              <w:t xml:space="preserve">No.</w:t>
            </w:r>
          </w:p>
        </w:tc>
        <w:tc>
          <w:tcPr>
            <w:tcW w:type="dxa" w:w="30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Process</w:t>
            </w:r>
          </w:p>
        </w:tc>
        <w:tc>
          <w:tcPr>
            <w:tcW w:type="dxa" w:w="54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Purpose</w:t>
            </w:r>
          </w:p>
        </w:tc>
      </w:tr>
      <w:tr>
        <w:trPr>
          <w:cantSplit/>
        </w:trPr>
        <w:tc>
          <w:tcPr>
            <w:tcW w:type="dxa" w:w="9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1.0</w:t>
            </w:r>
          </w:p>
        </w:tc>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Authentication and Session</w:t>
            </w:r>
          </w:p>
        </w:tc>
        <w:tc>
          <w:tcPr>
            <w:tcW w:type="dxa" w:w="54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Verify the user’s session before any private page or API route is used</w:t>
            </w:r>
          </w:p>
        </w:tc>
      </w:tr>
      <w:tr>
        <w:trPr>
          <w:cantSplit/>
        </w:trPr>
        <w:tc>
          <w:tcPr>
            <w:tcW w:type="dxa" w:w="9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2.0</w:t>
            </w:r>
          </w:p>
        </w:tc>
        <w:tc>
          <w:tcPr>
            <w:tcW w:type="dxa" w:w="3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Workflow Generation</w:t>
            </w:r>
          </w:p>
        </w:tc>
        <w:tc>
          <w:tcPr>
            <w:tcW w:type="dxa" w:w="54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Build the constrained prompt, call the LLM, validate the proposal and save drafts</w:t>
            </w:r>
          </w:p>
        </w:tc>
      </w:tr>
      <w:tr>
        <w:trPr>
          <w:cantSplit/>
        </w:trPr>
        <w:tc>
          <w:tcPr>
            <w:tcW w:type="dxa" w:w="9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3.0</w:t>
            </w:r>
          </w:p>
        </w:tc>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Integration Management</w:t>
            </w:r>
          </w:p>
        </w:tc>
        <w:tc>
          <w:tcPr>
            <w:tcW w:type="dxa" w:w="54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Run the OAuth lifecycle, store credential references and show connection status</w:t>
            </w:r>
          </w:p>
        </w:tc>
      </w:tr>
      <w:tr>
        <w:trPr>
          <w:cantSplit/>
        </w:trPr>
        <w:tc>
          <w:tcPr>
            <w:tcW w:type="dxa" w:w="9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4.0</w:t>
            </w:r>
          </w:p>
        </w:tc>
        <w:tc>
          <w:tcPr>
            <w:tcW w:type="dxa" w:w="3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Workflow Execution</w:t>
            </w:r>
          </w:p>
        </w:tc>
        <w:tc>
          <w:tcPr>
            <w:tcW w:type="dxa" w:w="54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Check ownership, approvals and scopes, run registered actions and persist run state</w:t>
            </w:r>
          </w:p>
        </w:tc>
      </w:tr>
      <w:tr>
        <w:trPr>
          <w:cantSplit/>
        </w:trPr>
        <w:tc>
          <w:tcPr>
            <w:tcW w:type="dxa" w:w="9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center"/>
            </w:pPr>
            <w:r>
              <w:rPr>
                <w:rFonts w:ascii="Times New Roman" w:cs="Times New Roman" w:eastAsia="Times New Roman" w:hAnsi="Times New Roman"/>
                <w:b w:val="false"/>
                <w:bCs w:val="false"/>
                <w:sz w:val="19"/>
                <w:szCs w:val="19"/>
              </w:rPr>
              <w:t xml:space="preserve">5.0</w:t>
            </w:r>
          </w:p>
        </w:tc>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Audit and Security View</w:t>
            </w:r>
          </w:p>
        </w:tc>
        <w:tc>
          <w:tcPr>
            <w:tcW w:type="dxa" w:w="54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Present run history, permissions, approvals and redacted audit events</w:t>
            </w:r>
          </w:p>
        </w:tc>
      </w:tr>
    </w:tbl>
    <w:p>
      <w:pPr>
        <w:spacing w:after="140"/>
      </w:pPr>
    </w:p>
    <w:p>
      <w:pPr>
        <w:pStyle w:val="Heading2"/>
        <w:keepNext/>
        <w:spacing w:after="120" w:before="200"/>
      </w:pPr>
      <w:r>
        <w:rPr>
          <w:rFonts w:ascii="Calibri" w:cs="Calibri" w:eastAsia="Calibri" w:hAnsi="Calibri"/>
          <w:b/>
          <w:bCs/>
          <w:color w:val="1F4E79"/>
          <w:sz w:val="26"/>
          <w:szCs w:val="26"/>
        </w:rPr>
        <w:t xml:space="preserve">4.5 Data Stores</w:t>
      </w:r>
    </w:p>
    <w:p>
      <w:pPr>
        <w:keepNext/>
        <w:spacing w:after="80" w:before="120"/>
        <w:jc w:val="center"/>
      </w:pPr>
      <w:r>
        <w:rPr>
          <w:rFonts w:ascii="Times New Roman" w:cs="Times New Roman" w:eastAsia="Times New Roman" w:hAnsi="Times New Roman"/>
          <w:b/>
          <w:bCs/>
          <w:color w:val="1F4E79"/>
          <w:sz w:val="20"/>
          <w:szCs w:val="20"/>
        </w:rPr>
        <w:t xml:space="preserve">Table 4.2: Data Stores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06"/>
      </w:tblGrid>
      <w:tr>
        <w:trPr>
          <w:cantSplit/>
          <w:tblHeader/>
        </w:trPr>
        <w:tc>
          <w:tcPr>
            <w:tcW w:type="dxa" w:w="9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bCs/>
                <w:color w:val="FFFFFF"/>
                <w:sz w:val="19"/>
                <w:szCs w:val="19"/>
              </w:rPr>
              <w:t xml:space="preserve">ID</w:t>
            </w:r>
          </w:p>
        </w:tc>
        <w:tc>
          <w:tcPr>
            <w:tcW w:type="dxa" w:w="30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Data Store</w:t>
            </w:r>
          </w:p>
        </w:tc>
        <w:tc>
          <w:tcPr>
            <w:tcW w:type="dxa" w:w="54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Contents</w:t>
            </w:r>
          </w:p>
        </w:tc>
      </w:tr>
      <w:tr>
        <w:trPr>
          <w:cantSplit/>
        </w:trPr>
        <w:tc>
          <w:tcPr>
            <w:tcW w:type="dxa" w:w="9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D1</w:t>
            </w:r>
          </w:p>
        </w:tc>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Workflows</w:t>
            </w:r>
          </w:p>
        </w:tc>
        <w:tc>
          <w:tcPr>
            <w:tcW w:type="dxa" w:w="54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Validated workflow definitions with owner, version and status</w:t>
            </w:r>
          </w:p>
        </w:tc>
      </w:tr>
      <w:tr>
        <w:trPr>
          <w:cantSplit/>
        </w:trPr>
        <w:tc>
          <w:tcPr>
            <w:tcW w:type="dxa" w:w="9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D2</w:t>
            </w:r>
          </w:p>
        </w:tc>
        <w:tc>
          <w:tcPr>
            <w:tcW w:type="dxa" w:w="3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Integrations</w:t>
            </w:r>
          </w:p>
        </w:tc>
        <w:tc>
          <w:tcPr>
            <w:tcW w:type="dxa" w:w="54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Provider identity, granted scopes, status and protected credential references</w:t>
            </w:r>
          </w:p>
        </w:tc>
      </w:tr>
      <w:tr>
        <w:trPr>
          <w:cantSplit/>
        </w:trPr>
        <w:tc>
          <w:tcPr>
            <w:tcW w:type="dxa" w:w="9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D3</w:t>
            </w:r>
          </w:p>
        </w:tc>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Execution Runs</w:t>
            </w:r>
          </w:p>
        </w:tc>
        <w:tc>
          <w:tcPr>
            <w:tcW w:type="dxa" w:w="54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Run status, timestamps, idempotency keys and sanitized summaries</w:t>
            </w:r>
          </w:p>
        </w:tc>
      </w:tr>
      <w:tr>
        <w:trPr>
          <w:cantSplit/>
        </w:trPr>
        <w:tc>
          <w:tcPr>
            <w:tcW w:type="dxa" w:w="9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center"/>
            </w:pPr>
            <w:r>
              <w:rPr>
                <w:rFonts w:ascii="Times New Roman" w:cs="Times New Roman" w:eastAsia="Times New Roman" w:hAnsi="Times New Roman"/>
                <w:b w:val="false"/>
                <w:bCs w:val="false"/>
                <w:sz w:val="19"/>
                <w:szCs w:val="19"/>
              </w:rPr>
              <w:t xml:space="preserve">D4</w:t>
            </w:r>
          </w:p>
        </w:tc>
        <w:tc>
          <w:tcPr>
            <w:tcW w:type="dxa" w:w="3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Approvals and Audit Events</w:t>
            </w:r>
          </w:p>
        </w:tc>
        <w:tc>
          <w:tcPr>
            <w:tcW w:type="dxa" w:w="54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Approval decisions and redacted security-relevant events</w:t>
            </w:r>
          </w:p>
        </w:tc>
      </w:tr>
    </w:tbl>
    <w:p>
      <w:pPr>
        <w:spacing w:after="140"/>
      </w:pPr>
    </w:p>
    <w:p>
      <w:pPr>
        <w:pStyle w:val="Heading1"/>
        <w:keepNext/>
        <w:pageBreakBefore/>
        <w:spacing w:after="200"/>
      </w:pPr>
      <w:r>
        <w:rPr>
          <w:rFonts w:ascii="Calibri" w:cs="Calibri" w:eastAsia="Calibri" w:hAnsi="Calibri"/>
          <w:b/>
          <w:bCs/>
          <w:color w:val="1F4E79"/>
          <w:sz w:val="32"/>
          <w:szCs w:val="32"/>
        </w:rPr>
        <w:t xml:space="preserve">CHAPTER 5: ENTITY RELATIONSHIP DIAGRAM</w:t>
      </w:r>
    </w:p>
    <w:p>
      <w:pPr>
        <w:pStyle w:val="Heading2"/>
        <w:keepNext/>
        <w:spacing w:after="120" w:before="200"/>
      </w:pPr>
      <w:r>
        <w:rPr>
          <w:rFonts w:ascii="Calibri" w:cs="Calibri" w:eastAsia="Calibri" w:hAnsi="Calibri"/>
          <w:b/>
          <w:bCs/>
          <w:color w:val="1F4E79"/>
          <w:sz w:val="26"/>
          <w:szCs w:val="26"/>
        </w:rPr>
        <w:t xml:space="preserve">5.1 Definition</w:t>
      </w:r>
    </w:p>
    <w:p>
      <w:pPr>
        <w:spacing w:after="120" w:before="0" w:line="288"/>
        <w:jc w:val="both"/>
      </w:pPr>
      <w:r>
        <w:rPr>
          <w:rFonts w:ascii="Times New Roman" w:cs="Times New Roman" w:eastAsia="Times New Roman" w:hAnsi="Times New Roman"/>
          <w:sz w:val="21"/>
          <w:szCs w:val="21"/>
        </w:rPr>
        <w:t xml:space="preserve">An Entity Relationship Diagram (ERD) illustrates the main data entities used by a system and how they relate to one another. Primary keys (PK) identify records, while foreign keys (FK) connect related entities. The exact schema is to be finalized through migrations and tested against the access patterns; fields not needed by the first release are omitted rather than added speculatively.</w:t>
      </w:r>
    </w:p>
    <w:p>
      <w:pPr>
        <w:pStyle w:val="Heading2"/>
        <w:keepNext/>
        <w:spacing w:after="120" w:before="200"/>
      </w:pPr>
      <w:r>
        <w:rPr>
          <w:rFonts w:ascii="Calibri" w:cs="Calibri" w:eastAsia="Calibri" w:hAnsi="Calibri"/>
          <w:b/>
          <w:bCs/>
          <w:color w:val="1F4E79"/>
          <w:sz w:val="26"/>
          <w:szCs w:val="26"/>
        </w:rPr>
        <w:t xml:space="preserve">5.2 ER Diagram</w:t>
      </w:r>
    </w:p>
    <w:p>
      <w:pPr>
        <w:keepNext/>
        <w:spacing w:after="60" w:before="120"/>
        <w:jc w:val="center"/>
      </w:pPr>
      <w:r>
        <w:drawing>
          <wp:inline distT="0" distB="0" distL="0" distR="0">
            <wp:extent cx="4762500" cy="4019550"/>
            <wp:effectExtent t="0" r="0" b="0" l="0"/>
            <wp:docPr id="1" name="fig5_1" descr="Entity Relationship Diagram (proposed)" title="Entity Relationship Diagram (pro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40195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19"/>
          <w:szCs w:val="19"/>
        </w:rPr>
        <w:t xml:space="preserve">Figure 5.1: Entity Relationship Diagram (proposed)</w:t>
      </w:r>
    </w:p>
    <w:p>
      <w:pPr>
        <w:pStyle w:val="Heading2"/>
        <w:keepNext/>
        <w:spacing w:after="120" w:before="200"/>
      </w:pPr>
      <w:r>
        <w:rPr>
          <w:rFonts w:ascii="Calibri" w:cs="Calibri" w:eastAsia="Calibri" w:hAnsi="Calibri"/>
          <w:b/>
          <w:bCs/>
          <w:color w:val="1F4E79"/>
          <w:sz w:val="26"/>
          <w:szCs w:val="26"/>
        </w:rPr>
        <w:t xml:space="preserve">5.3 Explanation of Entities</w:t>
      </w:r>
    </w:p>
    <w:p>
      <w:pPr>
        <w:keepNext/>
        <w:spacing w:after="80" w:before="120"/>
        <w:jc w:val="center"/>
      </w:pPr>
      <w:r>
        <w:rPr>
          <w:rFonts w:ascii="Times New Roman" w:cs="Times New Roman" w:eastAsia="Times New Roman" w:hAnsi="Times New Roman"/>
          <w:b/>
          <w:bCs/>
          <w:color w:val="1F4E79"/>
          <w:sz w:val="20"/>
          <w:szCs w:val="20"/>
        </w:rPr>
        <w:t xml:space="preserve">Table 5.1: Entities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cantSplit/>
          <w:tblHeader/>
        </w:trPr>
        <w:tc>
          <w:tcPr>
            <w:tcW w:type="dxa" w:w="24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Entity</w:t>
            </w:r>
          </w:p>
        </w:tc>
        <w:tc>
          <w:tcPr>
            <w:tcW w:type="dxa" w:w="69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Purpose</w:t>
            </w:r>
          </w:p>
        </w:tc>
      </w:tr>
      <w:tr>
        <w:trPr>
          <w:cantSplit/>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PROFILE</w:t>
            </w:r>
          </w:p>
        </w:tc>
        <w:tc>
          <w:tcPr>
            <w:tcW w:type="dxa" w:w="6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Stores minimal account metadata for an authenticated user</w:t>
            </w:r>
          </w:p>
        </w:tc>
      </w:tr>
      <w:tr>
        <w:trPr>
          <w:cantSplit/>
        </w:trPr>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WORKFLOW</w:t>
            </w:r>
          </w:p>
        </w:tc>
        <w:tc>
          <w:tcPr>
            <w:tcW w:type="dxa" w:w="6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Stores owner, name, description, schema version, validated definition, status and timestamps</w:t>
            </w:r>
          </w:p>
        </w:tc>
      </w:tr>
      <w:tr>
        <w:trPr>
          <w:cantSplit/>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INTEGRATION</w:t>
            </w:r>
          </w:p>
        </w:tc>
        <w:tc>
          <w:tcPr>
            <w:tcW w:type="dxa" w:w="6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Stores provider identity, owner, granted scopes, connection status and a protected credential reference</w:t>
            </w:r>
          </w:p>
        </w:tc>
      </w:tr>
      <w:tr>
        <w:trPr>
          <w:cantSplit/>
        </w:trPr>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EXECUTION_RUN</w:t>
            </w:r>
          </w:p>
        </w:tc>
        <w:tc>
          <w:tcPr>
            <w:tcW w:type="dxa" w:w="6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Stores the status, timing and safe results of one run of a workflow</w:t>
            </w:r>
          </w:p>
        </w:tc>
      </w:tr>
      <w:tr>
        <w:trPr>
          <w:cantSplit/>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APPROVAL</w:t>
            </w:r>
          </w:p>
        </w:tc>
        <w:tc>
          <w:tcPr>
            <w:tcW w:type="dxa" w:w="6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Stores approval decisions for a workflow version and action scope</w:t>
            </w:r>
          </w:p>
        </w:tc>
      </w:tr>
      <w:tr>
        <w:trPr>
          <w:cantSplit/>
        </w:trPr>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AUDIT_EVENT</w:t>
            </w:r>
          </w:p>
        </w:tc>
        <w:tc>
          <w:tcPr>
            <w:tcW w:type="dxa" w:w="6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Stores redacted, security-relevant activity such as connections, approvals and denials</w:t>
            </w:r>
          </w:p>
        </w:tc>
      </w:tr>
    </w:tbl>
    <w:p>
      <w:pPr>
        <w:spacing w:after="140"/>
      </w:pPr>
    </w:p>
    <w:p>
      <w:pPr>
        <w:pStyle w:val="Heading2"/>
        <w:keepNext/>
        <w:spacing w:after="120" w:before="200"/>
      </w:pPr>
      <w:r>
        <w:rPr>
          <w:rFonts w:ascii="Calibri" w:cs="Calibri" w:eastAsia="Calibri" w:hAnsi="Calibri"/>
          <w:b/>
          <w:bCs/>
          <w:color w:val="1F4E79"/>
          <w:sz w:val="26"/>
          <w:szCs w:val="26"/>
        </w:rPr>
        <w:t xml:space="preserve">5.4 Relationships</w:t>
      </w:r>
    </w:p>
    <w:p>
      <w:pPr>
        <w:keepNext/>
        <w:spacing w:after="80" w:before="120"/>
        <w:jc w:val="center"/>
      </w:pPr>
      <w:r>
        <w:rPr>
          <w:rFonts w:ascii="Times New Roman" w:cs="Times New Roman" w:eastAsia="Times New Roman" w:hAnsi="Times New Roman"/>
          <w:b/>
          <w:bCs/>
          <w:color w:val="1F4E79"/>
          <w:sz w:val="20"/>
          <w:szCs w:val="20"/>
        </w:rPr>
        <w:t xml:space="preserve">Table 5.2: Relationships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06"/>
      </w:tblGrid>
      <w:tr>
        <w:trPr>
          <w:cantSplit/>
          <w:tblHeader/>
        </w:trPr>
        <w:tc>
          <w:tcPr>
            <w:tcW w:type="dxa" w:w="32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Relationship</w:t>
            </w:r>
          </w:p>
        </w:tc>
        <w:tc>
          <w:tcPr>
            <w:tcW w:type="dxa" w:w="10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bCs/>
                <w:color w:val="FFFFFF"/>
                <w:sz w:val="19"/>
                <w:szCs w:val="19"/>
              </w:rPr>
              <w:t xml:space="preserve">Type</w:t>
            </w:r>
          </w:p>
        </w:tc>
        <w:tc>
          <w:tcPr>
            <w:tcW w:type="dxa" w:w="51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Meaning</w:t>
            </w:r>
          </w:p>
        </w:tc>
      </w:tr>
      <w:tr>
        <w:trPr>
          <w:cantSplit/>
        </w:trPr>
        <w:tc>
          <w:tcPr>
            <w:tcW w:type="dxa" w:w="32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PROFILE — WORKFLOW</w:t>
            </w:r>
          </w:p>
        </w:tc>
        <w:tc>
          <w:tcPr>
            <w:tcW w:type="dxa" w:w="1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1 : N</w:t>
            </w:r>
          </w:p>
        </w:tc>
        <w:tc>
          <w:tcPr>
            <w:tcW w:type="dxa" w:w="51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One user can own many workflows</w:t>
            </w:r>
          </w:p>
        </w:tc>
      </w:tr>
      <w:tr>
        <w:trPr>
          <w:cantSplit/>
        </w:trPr>
        <w:tc>
          <w:tcPr>
            <w:tcW w:type="dxa" w:w="32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PROFILE — INTEGRATION</w:t>
            </w:r>
          </w:p>
        </w:tc>
        <w:tc>
          <w:tcPr>
            <w:tcW w:type="dxa" w:w="1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1 : N</w:t>
            </w:r>
          </w:p>
        </w:tc>
        <w:tc>
          <w:tcPr>
            <w:tcW w:type="dxa" w:w="51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One user can own many provider connections</w:t>
            </w:r>
          </w:p>
        </w:tc>
      </w:tr>
      <w:tr>
        <w:trPr>
          <w:cantSplit/>
        </w:trPr>
        <w:tc>
          <w:tcPr>
            <w:tcW w:type="dxa" w:w="32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WORKFLOW — EXECUTION_RUN</w:t>
            </w:r>
          </w:p>
        </w:tc>
        <w:tc>
          <w:tcPr>
            <w:tcW w:type="dxa" w:w="1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1 : N</w:t>
            </w:r>
          </w:p>
        </w:tc>
        <w:tc>
          <w:tcPr>
            <w:tcW w:type="dxa" w:w="51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One workflow can have many execution runs</w:t>
            </w:r>
          </w:p>
        </w:tc>
      </w:tr>
      <w:tr>
        <w:trPr>
          <w:cantSplit/>
        </w:trPr>
        <w:tc>
          <w:tcPr>
            <w:tcW w:type="dxa" w:w="32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WORKFLOW — APPROVAL</w:t>
            </w:r>
          </w:p>
        </w:tc>
        <w:tc>
          <w:tcPr>
            <w:tcW w:type="dxa" w:w="1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1 : N</w:t>
            </w:r>
          </w:p>
        </w:tc>
        <w:tc>
          <w:tcPr>
            <w:tcW w:type="dxa" w:w="51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One workflow can have many approval records</w:t>
            </w:r>
          </w:p>
        </w:tc>
      </w:tr>
      <w:tr>
        <w:trPr>
          <w:cantSplit/>
        </w:trPr>
        <w:tc>
          <w:tcPr>
            <w:tcW w:type="dxa" w:w="32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EXECUTION_RUN — APPROVAL</w:t>
            </w:r>
          </w:p>
        </w:tc>
        <w:tc>
          <w:tcPr>
            <w:tcW w:type="dxa" w:w="1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1 : N</w:t>
            </w:r>
          </w:p>
        </w:tc>
        <w:tc>
          <w:tcPr>
            <w:tcW w:type="dxa" w:w="51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 run may have associated approval records</w:t>
            </w:r>
          </w:p>
        </w:tc>
      </w:tr>
      <w:tr>
        <w:trPr>
          <w:cantSplit/>
        </w:trPr>
        <w:tc>
          <w:tcPr>
            <w:tcW w:type="dxa" w:w="32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PROFILE — AUDIT_EVENT</w:t>
            </w:r>
          </w:p>
        </w:tc>
        <w:tc>
          <w:tcPr>
            <w:tcW w:type="dxa" w:w="1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center"/>
            </w:pPr>
            <w:r>
              <w:rPr>
                <w:rFonts w:ascii="Times New Roman" w:cs="Times New Roman" w:eastAsia="Times New Roman" w:hAnsi="Times New Roman"/>
                <w:b w:val="false"/>
                <w:bCs w:val="false"/>
                <w:sz w:val="19"/>
                <w:szCs w:val="19"/>
              </w:rPr>
              <w:t xml:space="preserve">1 : N</w:t>
            </w:r>
          </w:p>
        </w:tc>
        <w:tc>
          <w:tcPr>
            <w:tcW w:type="dxa" w:w="51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One user can be the actor of many audit events</w:t>
            </w:r>
          </w:p>
        </w:tc>
      </w:tr>
    </w:tbl>
    <w:p>
      <w:pPr>
        <w:spacing w:after="140"/>
      </w:pPr>
    </w:p>
    <w:p>
      <w:pPr>
        <w:pStyle w:val="Heading2"/>
        <w:keepNext/>
        <w:spacing w:after="120" w:before="200"/>
      </w:pPr>
      <w:r>
        <w:rPr>
          <w:rFonts w:ascii="Calibri" w:cs="Calibri" w:eastAsia="Calibri" w:hAnsi="Calibri"/>
          <w:b/>
          <w:bCs/>
          <w:color w:val="1F4E79"/>
          <w:sz w:val="26"/>
          <w:szCs w:val="26"/>
        </w:rPr>
        <w:t xml:space="preserve">5.5 Integrity Rules</w:t>
      </w:r>
    </w:p>
    <w:p>
      <w:pPr>
        <w:keepNext/>
        <w:spacing w:after="120" w:before="0" w:line="288"/>
        <w:jc w:val="both"/>
      </w:pPr>
      <w:r>
        <w:rPr>
          <w:rFonts w:ascii="Times New Roman" w:cs="Times New Roman" w:eastAsia="Times New Roman" w:hAnsi="Times New Roman"/>
          <w:sz w:val="21"/>
          <w:szCs w:val="21"/>
        </w:rPr>
        <w:t xml:space="preserve">Foreign keys preserve valid relationships and define deletion behavior deliberately. The integrity rules include:</w:t>
      </w:r>
    </w:p>
    <w:p>
      <w:pPr>
        <w:pStyle w:val="ListParagraph"/>
        <w:numPr>
          <w:ilvl w:val="0"/>
          <w:numId w:val="2"/>
        </w:numPr>
        <w:spacing w:after="80" w:line="288"/>
        <w:jc w:val="both"/>
      </w:pPr>
      <w:r>
        <w:rPr>
          <w:rFonts w:ascii="Times New Roman" w:cs="Times New Roman" w:eastAsia="Times New Roman" w:hAnsi="Times New Roman"/>
          <w:sz w:val="21"/>
          <w:szCs w:val="21"/>
        </w:rPr>
        <w:t xml:space="preserve">unique identifiers and required ownership on every private record;</w:t>
      </w:r>
    </w:p>
    <w:p>
      <w:pPr>
        <w:pStyle w:val="ListParagraph"/>
        <w:numPr>
          <w:ilvl w:val="0"/>
          <w:numId w:val="2"/>
        </w:numPr>
        <w:spacing w:after="80" w:line="288"/>
        <w:jc w:val="both"/>
      </w:pPr>
      <w:r>
        <w:rPr>
          <w:rFonts w:ascii="Times New Roman" w:cs="Times New Roman" w:eastAsia="Times New Roman" w:hAnsi="Times New Roman"/>
          <w:sz w:val="21"/>
          <w:szCs w:val="21"/>
        </w:rPr>
        <w:t xml:space="preserve">valid status values and consistent timestamps;</w:t>
      </w:r>
    </w:p>
    <w:p>
      <w:pPr>
        <w:pStyle w:val="ListParagraph"/>
        <w:numPr>
          <w:ilvl w:val="0"/>
          <w:numId w:val="2"/>
        </w:numPr>
        <w:spacing w:after="80" w:line="288"/>
        <w:jc w:val="both"/>
      </w:pPr>
      <w:r>
        <w:rPr>
          <w:rFonts w:ascii="Times New Roman" w:cs="Times New Roman" w:eastAsia="Times New Roman" w:hAnsi="Times New Roman"/>
          <w:sz w:val="21"/>
          <w:szCs w:val="21"/>
        </w:rPr>
        <w:t xml:space="preserve">supported schema versions and references to registered actions;</w:t>
      </w:r>
    </w:p>
    <w:p>
      <w:pPr>
        <w:pStyle w:val="ListParagraph"/>
        <w:numPr>
          <w:ilvl w:val="0"/>
          <w:numId w:val="2"/>
        </w:numPr>
        <w:spacing w:after="80" w:line="288"/>
        <w:jc w:val="both"/>
      </w:pPr>
      <w:r>
        <w:rPr>
          <w:rFonts w:ascii="Times New Roman" w:cs="Times New Roman" w:eastAsia="Times New Roman" w:hAnsi="Times New Roman"/>
          <w:sz w:val="21"/>
          <w:szCs w:val="21"/>
        </w:rPr>
        <w:t xml:space="preserve">RLS tests that exercise select, insert, update and delete behavior as applicable.</w:t>
      </w:r>
    </w:p>
    <w:p>
      <w:pPr>
        <w:spacing w:after="60"/>
      </w:pPr>
    </w:p>
    <w:p>
      <w:pPr>
        <w:pStyle w:val="Heading1"/>
        <w:keepNext/>
        <w:pageBreakBefore/>
        <w:spacing w:after="200"/>
      </w:pPr>
      <w:r>
        <w:rPr>
          <w:rFonts w:ascii="Calibri" w:cs="Calibri" w:eastAsia="Calibri" w:hAnsi="Calibri"/>
          <w:b/>
          <w:bCs/>
          <w:color w:val="1F4E79"/>
          <w:sz w:val="32"/>
          <w:szCs w:val="32"/>
        </w:rPr>
        <w:t xml:space="preserve">CHAPTER 6: DATA DICTIONARY</w:t>
      </w:r>
    </w:p>
    <w:p>
      <w:pPr>
        <w:pStyle w:val="Heading2"/>
        <w:keepNext/>
        <w:spacing w:after="120" w:before="200"/>
      </w:pPr>
      <w:r>
        <w:rPr>
          <w:rFonts w:ascii="Calibri" w:cs="Calibri" w:eastAsia="Calibri" w:hAnsi="Calibri"/>
          <w:b/>
          <w:bCs/>
          <w:color w:val="1F4E79"/>
          <w:sz w:val="26"/>
          <w:szCs w:val="26"/>
        </w:rPr>
        <w:t xml:space="preserve">6.1 Definition</w:t>
      </w:r>
    </w:p>
    <w:p>
      <w:pPr>
        <w:spacing w:after="120" w:before="0" w:line="288"/>
        <w:jc w:val="both"/>
      </w:pPr>
      <w:r>
        <w:rPr>
          <w:rFonts w:ascii="Times New Roman" w:cs="Times New Roman" w:eastAsia="Times New Roman" w:hAnsi="Times New Roman"/>
          <w:sz w:val="21"/>
          <w:szCs w:val="21"/>
        </w:rPr>
        <w:t xml:space="preserve">A data dictionary describes the fields used in the system, including their data types, key constraints and meanings. The tables below describe the proposed entities; data types are indicative and are to be confirmed when the migrations are written.</w:t>
      </w:r>
    </w:p>
    <w:p>
      <w:pPr>
        <w:pStyle w:val="Heading2"/>
        <w:keepNext/>
        <w:spacing w:after="120" w:before="200"/>
      </w:pPr>
      <w:r>
        <w:rPr>
          <w:rFonts w:ascii="Calibri" w:cs="Calibri" w:eastAsia="Calibri" w:hAnsi="Calibri"/>
          <w:b/>
          <w:bCs/>
          <w:color w:val="1F4E79"/>
          <w:sz w:val="26"/>
          <w:szCs w:val="26"/>
        </w:rPr>
        <w:t xml:space="preserve">6.2 Entity Tables</w:t>
      </w:r>
    </w:p>
    <w:p>
      <w:pPr>
        <w:keepNext/>
        <w:spacing w:after="80" w:before="120"/>
        <w:jc w:val="center"/>
      </w:pPr>
      <w:r>
        <w:rPr>
          <w:rFonts w:ascii="Times New Roman" w:cs="Times New Roman" w:eastAsia="Times New Roman" w:hAnsi="Times New Roman"/>
          <w:b/>
          <w:bCs/>
          <w:color w:val="1F4E79"/>
          <w:sz w:val="20"/>
          <w:szCs w:val="20"/>
        </w:rPr>
        <w:t xml:space="preserve">Table 6.1: PROFILE Table</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800"/>
        <w:gridCol w:w="4906"/>
      </w:tblGrid>
      <w:tr>
        <w:trPr>
          <w:cantSplit/>
          <w:tblHeader/>
        </w:trPr>
        <w:tc>
          <w:tcPr>
            <w:tcW w:type="dxa" w:w="2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Field Name</w:t>
            </w:r>
          </w:p>
        </w:tc>
        <w:tc>
          <w:tcPr>
            <w:tcW w:type="dxa" w:w="1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Data Type</w:t>
            </w:r>
          </w:p>
        </w:tc>
        <w:tc>
          <w:tcPr>
            <w:tcW w:type="dxa" w:w="8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bCs/>
                <w:color w:val="FFFFFF"/>
                <w:sz w:val="19"/>
                <w:szCs w:val="19"/>
              </w:rPr>
              <w:t xml:space="preserve">Key</w:t>
            </w:r>
          </w:p>
        </w:tc>
        <w:tc>
          <w:tcPr>
            <w:tcW w:type="dxa" w:w="49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Description</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user_id</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PK</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Authenticated user identifier</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(minimal metadata)</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Only the account fields needed by the first release</w:t>
            </w:r>
          </w:p>
        </w:tc>
      </w:tr>
    </w:tbl>
    <w:p>
      <w:pPr>
        <w:spacing w:after="140"/>
      </w:pPr>
    </w:p>
    <w:p>
      <w:pPr>
        <w:keepNext/>
        <w:spacing w:after="80" w:before="120"/>
        <w:jc w:val="center"/>
      </w:pPr>
      <w:r>
        <w:rPr>
          <w:rFonts w:ascii="Times New Roman" w:cs="Times New Roman" w:eastAsia="Times New Roman" w:hAnsi="Times New Roman"/>
          <w:b/>
          <w:bCs/>
          <w:color w:val="1F4E79"/>
          <w:sz w:val="20"/>
          <w:szCs w:val="20"/>
        </w:rPr>
        <w:t xml:space="preserve">Table 6.2: WORKFLOW Table</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800"/>
        <w:gridCol w:w="4906"/>
      </w:tblGrid>
      <w:tr>
        <w:trPr>
          <w:cantSplit/>
          <w:tblHeader/>
        </w:trPr>
        <w:tc>
          <w:tcPr>
            <w:tcW w:type="dxa" w:w="2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Field Name</w:t>
            </w:r>
          </w:p>
        </w:tc>
        <w:tc>
          <w:tcPr>
            <w:tcW w:type="dxa" w:w="1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Data Type</w:t>
            </w:r>
          </w:p>
        </w:tc>
        <w:tc>
          <w:tcPr>
            <w:tcW w:type="dxa" w:w="8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bCs/>
                <w:color w:val="FFFFFF"/>
                <w:sz w:val="19"/>
                <w:szCs w:val="19"/>
              </w:rPr>
              <w:t xml:space="preserve">Key</w:t>
            </w:r>
          </w:p>
        </w:tc>
        <w:tc>
          <w:tcPr>
            <w:tcW w:type="dxa" w:w="49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Description</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workflow_id</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PK</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Primary key for a workflow record</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owner_id</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FK</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Authenticated owner</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name</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User-visible label</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description</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Optional purpose</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definition_json</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JSON</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Validated workflow definition; contains no secrets</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schema_version</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Version of the definition schema</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status</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Lifecycle state such as draft, active or paused</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created_at / updated_at</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Timestamp</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Creation and modification times</w:t>
            </w:r>
          </w:p>
        </w:tc>
      </w:tr>
    </w:tbl>
    <w:p>
      <w:pPr>
        <w:spacing w:after="140"/>
      </w:pPr>
    </w:p>
    <w:p>
      <w:pPr>
        <w:keepNext/>
        <w:spacing w:after="80" w:before="120"/>
        <w:jc w:val="center"/>
      </w:pPr>
      <w:r>
        <w:rPr>
          <w:rFonts w:ascii="Times New Roman" w:cs="Times New Roman" w:eastAsia="Times New Roman" w:hAnsi="Times New Roman"/>
          <w:b/>
          <w:bCs/>
          <w:color w:val="1F4E79"/>
          <w:sz w:val="20"/>
          <w:szCs w:val="20"/>
        </w:rPr>
        <w:t xml:space="preserve">Table 6.3: INTEGRATION Table</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800"/>
        <w:gridCol w:w="4906"/>
      </w:tblGrid>
      <w:tr>
        <w:trPr>
          <w:cantSplit/>
          <w:tblHeader/>
        </w:trPr>
        <w:tc>
          <w:tcPr>
            <w:tcW w:type="dxa" w:w="2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Field Name</w:t>
            </w:r>
          </w:p>
        </w:tc>
        <w:tc>
          <w:tcPr>
            <w:tcW w:type="dxa" w:w="1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Data Type</w:t>
            </w:r>
          </w:p>
        </w:tc>
        <w:tc>
          <w:tcPr>
            <w:tcW w:type="dxa" w:w="8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bCs/>
                <w:color w:val="FFFFFF"/>
                <w:sz w:val="19"/>
                <w:szCs w:val="19"/>
              </w:rPr>
              <w:t xml:space="preserve">Key</w:t>
            </w:r>
          </w:p>
        </w:tc>
        <w:tc>
          <w:tcPr>
            <w:tcW w:type="dxa" w:w="49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Description</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integration_id</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PK</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Primary key</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owner_id</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FK</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User associated with the provider connection</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provider</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Allowlisted provider identifier</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status</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Connection lifecycle state</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granted_scopes</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 list</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Scopes approved by the user</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credential_reference</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Pointer to protected token storage, not raw token text</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connected_at / last_verified_at</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Timestamp</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Timestamps when known</w:t>
            </w:r>
          </w:p>
        </w:tc>
      </w:tr>
    </w:tbl>
    <w:p>
      <w:pPr>
        <w:spacing w:after="140"/>
      </w:pPr>
    </w:p>
    <w:p>
      <w:pPr>
        <w:keepNext/>
        <w:spacing w:after="80" w:before="120"/>
        <w:jc w:val="center"/>
      </w:pPr>
      <w:r>
        <w:rPr>
          <w:rFonts w:ascii="Times New Roman" w:cs="Times New Roman" w:eastAsia="Times New Roman" w:hAnsi="Times New Roman"/>
          <w:b/>
          <w:bCs/>
          <w:color w:val="1F4E79"/>
          <w:sz w:val="20"/>
          <w:szCs w:val="20"/>
        </w:rPr>
        <w:t xml:space="preserve">Table 6.4: EXECUTION_RUN Table</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800"/>
        <w:gridCol w:w="4906"/>
      </w:tblGrid>
      <w:tr>
        <w:trPr>
          <w:cantSplit/>
          <w:tblHeader/>
        </w:trPr>
        <w:tc>
          <w:tcPr>
            <w:tcW w:type="dxa" w:w="2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Field Name</w:t>
            </w:r>
          </w:p>
        </w:tc>
        <w:tc>
          <w:tcPr>
            <w:tcW w:type="dxa" w:w="1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Data Type</w:t>
            </w:r>
          </w:p>
        </w:tc>
        <w:tc>
          <w:tcPr>
            <w:tcW w:type="dxa" w:w="8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bCs/>
                <w:color w:val="FFFFFF"/>
                <w:sz w:val="19"/>
                <w:szCs w:val="19"/>
              </w:rPr>
              <w:t xml:space="preserve">Key</w:t>
            </w:r>
          </w:p>
        </w:tc>
        <w:tc>
          <w:tcPr>
            <w:tcW w:type="dxa" w:w="49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Description</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run_id</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PK</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Unique run identifier</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workflow_id</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FK</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Associated workflow</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owner_id</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FK</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Owner used for isolation</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status</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Current or final state</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started_at / finished_at</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Timestamp</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Run timing</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idempotency_key</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Duplicate protection where supported</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result_summary</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Safe outcome text</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error_code / error_summary</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Sanitized diagnostics</w:t>
            </w:r>
          </w:p>
        </w:tc>
      </w:tr>
    </w:tbl>
    <w:p>
      <w:pPr>
        <w:spacing w:after="140"/>
      </w:pPr>
    </w:p>
    <w:p>
      <w:pPr>
        <w:keepNext/>
        <w:spacing w:after="80" w:before="120"/>
        <w:jc w:val="center"/>
      </w:pPr>
      <w:r>
        <w:rPr>
          <w:rFonts w:ascii="Times New Roman" w:cs="Times New Roman" w:eastAsia="Times New Roman" w:hAnsi="Times New Roman"/>
          <w:b/>
          <w:bCs/>
          <w:color w:val="1F4E79"/>
          <w:sz w:val="20"/>
          <w:szCs w:val="20"/>
        </w:rPr>
        <w:t xml:space="preserve">Table 6.5: APPROVAL Table</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800"/>
        <w:gridCol w:w="4906"/>
      </w:tblGrid>
      <w:tr>
        <w:trPr>
          <w:cantSplit/>
          <w:tblHeader/>
        </w:trPr>
        <w:tc>
          <w:tcPr>
            <w:tcW w:type="dxa" w:w="2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Field Name</w:t>
            </w:r>
          </w:p>
        </w:tc>
        <w:tc>
          <w:tcPr>
            <w:tcW w:type="dxa" w:w="1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Data Type</w:t>
            </w:r>
          </w:p>
        </w:tc>
        <w:tc>
          <w:tcPr>
            <w:tcW w:type="dxa" w:w="8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bCs/>
                <w:color w:val="FFFFFF"/>
                <w:sz w:val="19"/>
                <w:szCs w:val="19"/>
              </w:rPr>
              <w:t xml:space="preserve">Key</w:t>
            </w:r>
          </w:p>
        </w:tc>
        <w:tc>
          <w:tcPr>
            <w:tcW w:type="dxa" w:w="49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Description</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approval_id</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PK</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Unique approval identifier</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workflow_id</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FK</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Workflow being approved</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run_id</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FK</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Associated run, when applicable</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approver_id</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FK</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User who made the decision</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approved_version</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Workflow version that was approved</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action_scope</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Actions covered by the approval</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decision / timestamp</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Text / Timestamp</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Outcome and time of the decision</w:t>
            </w:r>
          </w:p>
        </w:tc>
      </w:tr>
    </w:tbl>
    <w:p>
      <w:pPr>
        <w:spacing w:after="140"/>
      </w:pPr>
    </w:p>
    <w:p>
      <w:pPr>
        <w:keepNext/>
        <w:spacing w:after="80" w:before="120"/>
        <w:jc w:val="center"/>
      </w:pPr>
      <w:r>
        <w:rPr>
          <w:rFonts w:ascii="Times New Roman" w:cs="Times New Roman" w:eastAsia="Times New Roman" w:hAnsi="Times New Roman"/>
          <w:b/>
          <w:bCs/>
          <w:color w:val="1F4E79"/>
          <w:sz w:val="20"/>
          <w:szCs w:val="20"/>
        </w:rPr>
        <w:t xml:space="preserve">Table 6.6: AUDIT_EVENT Table</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800"/>
        <w:gridCol w:w="4906"/>
      </w:tblGrid>
      <w:tr>
        <w:trPr>
          <w:cantSplit/>
          <w:tblHeader/>
        </w:trPr>
        <w:tc>
          <w:tcPr>
            <w:tcW w:type="dxa" w:w="2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Field Name</w:t>
            </w:r>
          </w:p>
        </w:tc>
        <w:tc>
          <w:tcPr>
            <w:tcW w:type="dxa" w:w="1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Data Type</w:t>
            </w:r>
          </w:p>
        </w:tc>
        <w:tc>
          <w:tcPr>
            <w:tcW w:type="dxa" w:w="8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bCs/>
                <w:color w:val="FFFFFF"/>
                <w:sz w:val="19"/>
                <w:szCs w:val="19"/>
              </w:rPr>
              <w:t xml:space="preserve">Key</w:t>
            </w:r>
          </w:p>
        </w:tc>
        <w:tc>
          <w:tcPr>
            <w:tcW w:type="dxa" w:w="49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Description</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event_id</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PK</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Unique event identifier</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actor_id</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UUID</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FK</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User who performed the action</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event_type</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Category such as connected, disconnected, approved or denied</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target_reference</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Text</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Reference to the affected record</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timestamp</w:t>
            </w:r>
          </w:p>
        </w:tc>
        <w:tc>
          <w:tcPr>
            <w:tcW w:type="dxa" w:w="1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Timestamp</w:t>
            </w:r>
          </w:p>
        </w:tc>
        <w:tc>
          <w:tcPr>
            <w:tcW w:type="dxa" w:w="8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Time of the event</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redacted_metadata</w:t>
            </w:r>
          </w:p>
        </w:tc>
        <w:tc>
          <w:tcPr>
            <w:tcW w:type="dxa" w:w="1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JSON</w:t>
            </w:r>
          </w:p>
        </w:tc>
        <w:tc>
          <w:tcPr>
            <w:tcW w:type="dxa" w:w="8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center"/>
            </w:pPr>
            <w:r>
              <w:rPr>
                <w:rFonts w:ascii="Times New Roman" w:cs="Times New Roman" w:eastAsia="Times New Roman" w:hAnsi="Times New Roman"/>
                <w:b w:val="false"/>
                <w:bCs w:val="false"/>
                <w:sz w:val="19"/>
                <w:szCs w:val="19"/>
              </w:rPr>
              <w:t xml:space="preserve">—</w:t>
            </w:r>
          </w:p>
        </w:tc>
        <w:tc>
          <w:tcPr>
            <w:tcW w:type="dxa" w:w="4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Redacted details; never secrets or full payloads</w:t>
            </w:r>
          </w:p>
        </w:tc>
      </w:tr>
    </w:tbl>
    <w:p>
      <w:pPr>
        <w:spacing w:after="140"/>
      </w:pPr>
    </w:p>
    <w:p>
      <w:pPr>
        <w:pStyle w:val="Heading2"/>
        <w:keepNext/>
        <w:spacing w:after="120" w:before="200"/>
      </w:pPr>
      <w:r>
        <w:rPr>
          <w:rFonts w:ascii="Calibri" w:cs="Calibri" w:eastAsia="Calibri" w:hAnsi="Calibri"/>
          <w:b/>
          <w:bCs/>
          <w:color w:val="1F4E79"/>
          <w:sz w:val="26"/>
          <w:szCs w:val="26"/>
        </w:rPr>
        <w:t xml:space="preserve">6.3 Access Control Notes</w:t>
      </w:r>
    </w:p>
    <w:p>
      <w:pPr>
        <w:spacing w:after="120" w:before="0" w:line="288"/>
        <w:jc w:val="both"/>
      </w:pPr>
      <w:r>
        <w:rPr>
          <w:rFonts w:ascii="Times New Roman" w:cs="Times New Roman" w:eastAsia="Times New Roman" w:hAnsi="Times New Roman"/>
          <w:sz w:val="21"/>
          <w:szCs w:val="21"/>
        </w:rPr>
        <w:t xml:space="preserve">RLS policies should allow only the owner to access applicable rows. Insert policies must ensure owner_id matches the authenticated user, and update policies must prevent ownership transfer and validate permitted status changes. Raw OAuth tokens must not be returned to the browser; if token material is stored in the database, it is restricted to server-only code and protected with a documented encryption and key-management approach.</w:t>
      </w:r>
    </w:p>
    <w:p>
      <w:pPr>
        <w:spacing w:after="120" w:before="0" w:line="288"/>
        <w:jc w:val="both"/>
      </w:pPr>
      <w:r>
        <w:rPr>
          <w:rFonts w:ascii="Times New Roman" w:cs="Times New Roman" w:eastAsia="Times New Roman" w:hAnsi="Times New Roman"/>
          <w:sz w:val="21"/>
          <w:szCs w:val="21"/>
        </w:rPr>
        <w:t xml:space="preserve">Run records capture enough information to explain what happened without retaining unnecessary private content, and retention and deletion rules are documented. Audit logs are append-oriented and protected against unauthorized alteration; queries for recent runs are scoped by owner and use ordering and pagination.</w:t>
      </w:r>
    </w:p>
    <w:p>
      <w:pPr>
        <w:pStyle w:val="Heading1"/>
        <w:keepNext/>
        <w:pageBreakBefore/>
        <w:spacing w:after="200"/>
      </w:pPr>
      <w:r>
        <w:rPr>
          <w:rFonts w:ascii="Calibri" w:cs="Calibri" w:eastAsia="Calibri" w:hAnsi="Calibri"/>
          <w:b/>
          <w:bCs/>
          <w:color w:val="1F4E79"/>
          <w:sz w:val="32"/>
          <w:szCs w:val="32"/>
        </w:rPr>
        <w:t xml:space="preserve">CHAPTER 7: WORKFLOW DESIGN AND GOOGLE INTEGRATIONS</w:t>
      </w:r>
    </w:p>
    <w:p>
      <w:pPr>
        <w:pStyle w:val="Heading2"/>
        <w:keepNext/>
        <w:spacing w:after="120" w:before="200"/>
      </w:pPr>
      <w:r>
        <w:rPr>
          <w:rFonts w:ascii="Calibri" w:cs="Calibri" w:eastAsia="Calibri" w:hAnsi="Calibri"/>
          <w:b/>
          <w:bCs/>
          <w:color w:val="1F4E79"/>
          <w:sz w:val="26"/>
          <w:szCs w:val="26"/>
        </w:rPr>
        <w:t xml:space="preserve">7.1 Natural-Language Request Processing</w:t>
      </w:r>
    </w:p>
    <w:p>
      <w:pPr>
        <w:spacing w:after="120" w:before="0" w:line="288"/>
        <w:jc w:val="both"/>
      </w:pPr>
      <w:r>
        <w:rPr>
          <w:rFonts w:ascii="Times New Roman" w:cs="Times New Roman" w:eastAsia="Times New Roman" w:hAnsi="Times New Roman"/>
          <w:sz w:val="21"/>
          <w:szCs w:val="21"/>
        </w:rPr>
        <w:t xml:space="preserve">The user describes the intended outcome and may select a template or example. The server adds a constrained system instruction and a versioned schema definition, then requests structured output from the LLM. The prompt explicitly restricts the model to known action identifiers and requires missing information to be represented clearly.</w:t>
      </w:r>
    </w:p>
    <w:p>
      <w:pPr>
        <w:spacing w:after="120" w:before="0" w:line="288"/>
        <w:jc w:val="both"/>
      </w:pPr>
      <w:r>
        <w:rPr>
          <w:rFonts w:ascii="Times New Roman" w:cs="Times New Roman" w:eastAsia="Times New Roman" w:hAnsi="Times New Roman"/>
          <w:sz w:val="21"/>
          <w:szCs w:val="21"/>
        </w:rPr>
        <w:t xml:space="preserve">After generation, runtime validation checks required fields, step ordering, action parameters, size limits and schema version. A malformed response is rejected or regenerated within a bounded retry policy. The application never treats a fluent explanation as proof that the proposed workflow is valid.</w:t>
      </w:r>
    </w:p>
    <w:p>
      <w:pPr>
        <w:pStyle w:val="Heading2"/>
        <w:keepNext/>
        <w:spacing w:after="120" w:before="200"/>
      </w:pPr>
      <w:r>
        <w:rPr>
          <w:rFonts w:ascii="Calibri" w:cs="Calibri" w:eastAsia="Calibri" w:hAnsi="Calibri"/>
          <w:b/>
          <w:bCs/>
          <w:color w:val="1F4E79"/>
          <w:sz w:val="26"/>
          <w:szCs w:val="26"/>
        </w:rPr>
        <w:t xml:space="preserve">7.2 Workflow Definition Example</w:t>
      </w:r>
    </w:p>
    <w:p>
      <w:pPr>
        <w:spacing w:after="120" w:before="0" w:line="288"/>
        <w:jc w:val="both"/>
      </w:pPr>
      <w:r>
        <w:rPr>
          <w:rFonts w:ascii="Times New Roman" w:cs="Times New Roman" w:eastAsia="Times New Roman" w:hAnsi="Times New Roman"/>
          <w:sz w:val="21"/>
          <w:szCs w:val="21"/>
        </w:rPr>
        <w:t xml:space="preserve">A conceptual workflow definition contains a schema version, a human-readable name, a trigger, a sequence of steps, required integration identifiers and an approval policy. Each step references a registered action and validated parameters.</w:t>
      </w:r>
    </w:p>
    <w:p>
      <w:pPr>
        <w:spacing w:after="120" w:before="0" w:line="288"/>
        <w:jc w:val="both"/>
      </w:pPr>
      <w:r>
        <w:rPr>
          <w:rFonts w:ascii="Times New Roman" w:cs="Times New Roman" w:eastAsia="Times New Roman" w:hAnsi="Times New Roman"/>
          <w:sz w:val="21"/>
          <w:szCs w:val="21"/>
        </w:rPr>
        <w:t xml:space="preserve">Example: a user asks for today’s calendar summary to be saved to a spreadsheet. The proposal may read permitted calendar events, create a summary from the minimum necessary information, and write approved fields to a selected sheet. The user reviews the steps and destination before execution. This example describes intended behavior, not proof that the integration has already been implemented.</w:t>
      </w:r>
    </w:p>
    <w:p>
      <w:pPr>
        <w:pStyle w:val="Heading2"/>
        <w:keepNext/>
        <w:spacing w:after="120" w:before="200"/>
      </w:pPr>
      <w:r>
        <w:rPr>
          <w:rFonts w:ascii="Calibri" w:cs="Calibri" w:eastAsia="Calibri" w:hAnsi="Calibri"/>
          <w:b/>
          <w:bCs/>
          <w:color w:val="1F4E79"/>
          <w:sz w:val="26"/>
          <w:szCs w:val="26"/>
        </w:rPr>
        <w:t xml:space="preserve">7.3 Approval and Permission Model</w:t>
      </w:r>
    </w:p>
    <w:p>
      <w:pPr>
        <w:spacing w:after="120" w:before="0" w:line="288"/>
        <w:jc w:val="both"/>
      </w:pPr>
      <w:r>
        <w:rPr>
          <w:rFonts w:ascii="Times New Roman" w:cs="Times New Roman" w:eastAsia="Times New Roman" w:hAnsi="Times New Roman"/>
          <w:sz w:val="21"/>
          <w:szCs w:val="21"/>
        </w:rPr>
        <w:t xml:space="preserve">Workflow generation, workflow saving and workflow execution are distinct operations. A user may save a draft without executing it. Before execution, the system verifies the owner, the workflow version, required integration connections, granted scopes and any action-specific approval requirement.</w:t>
      </w:r>
    </w:p>
    <w:p>
      <w:pPr>
        <w:spacing w:after="120" w:before="0" w:line="288"/>
        <w:jc w:val="both"/>
      </w:pPr>
      <w:r>
        <w:rPr>
          <w:rFonts w:ascii="Times New Roman" w:cs="Times New Roman" w:eastAsia="Times New Roman" w:hAnsi="Times New Roman"/>
          <w:sz w:val="21"/>
          <w:szCs w:val="21"/>
        </w:rPr>
        <w:t xml:space="preserve">Sensitive operations such as sending an email or deleting data should be disabled by default in the first release or require an explicit confirmation with clear consequences. Approval records identify the approved workflow version and action scope so that changes after approval cannot silently inherit consent.</w:t>
      </w:r>
    </w:p>
    <w:p>
      <w:pPr>
        <w:pStyle w:val="Heading2"/>
        <w:keepNext/>
        <w:spacing w:after="120" w:before="200"/>
      </w:pPr>
      <w:r>
        <w:rPr>
          <w:rFonts w:ascii="Calibri" w:cs="Calibri" w:eastAsia="Calibri" w:hAnsi="Calibri"/>
          <w:b/>
          <w:bCs/>
          <w:color w:val="1F4E79"/>
          <w:sz w:val="26"/>
          <w:szCs w:val="26"/>
        </w:rPr>
        <w:t xml:space="preserve">7.4 Failure Handling and Recovery</w:t>
      </w:r>
    </w:p>
    <w:p>
      <w:pPr>
        <w:spacing w:after="120" w:before="0" w:line="288"/>
        <w:jc w:val="both"/>
      </w:pPr>
      <w:r>
        <w:rPr>
          <w:rFonts w:ascii="Times New Roman" w:cs="Times New Roman" w:eastAsia="Times New Roman" w:hAnsi="Times New Roman"/>
          <w:sz w:val="21"/>
          <w:szCs w:val="21"/>
        </w:rPr>
        <w:t xml:space="preserve">Failures can arise from invalid workflow data, missing permissions, expired tokens, rate limits, provider outages, timeouts or database errors. The application classifies failures, preserves a sanitized diagnostic record and presents the user with a next step when possible. Partial completion is made visible so users do not assume the entire workflow failed or succeeded uniformly.</w:t>
      </w:r>
    </w:p>
    <w:p>
      <w:pPr>
        <w:keepNext/>
        <w:spacing w:after="80" w:before="120"/>
        <w:jc w:val="center"/>
      </w:pPr>
      <w:r>
        <w:rPr>
          <w:rFonts w:ascii="Times New Roman" w:cs="Times New Roman" w:eastAsia="Times New Roman" w:hAnsi="Times New Roman"/>
          <w:b/>
          <w:bCs/>
          <w:color w:val="1F4E79"/>
          <w:sz w:val="20"/>
          <w:szCs w:val="20"/>
        </w:rPr>
        <w:t xml:space="preserve">Table 7.1: Failure Handling Approach</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306"/>
      </w:tblGrid>
      <w:tr>
        <w:trPr>
          <w:cantSplit/>
          <w:tblHeader/>
        </w:trPr>
        <w:tc>
          <w:tcPr>
            <w:tcW w:type="dxa" w:w="30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Failure type</w:t>
            </w:r>
          </w:p>
        </w:tc>
        <w:tc>
          <w:tcPr>
            <w:tcW w:type="dxa" w:w="63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Handling</w:t>
            </w:r>
          </w:p>
        </w:tc>
      </w:tr>
      <w:tr>
        <w:trPr>
          <w:cantSplit/>
        </w:trPr>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Authentication failure</w:t>
            </w:r>
          </w:p>
        </w:tc>
        <w:tc>
          <w:tcPr>
            <w:tcW w:type="dxa" w:w="63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May require the user to reconnect the integration</w:t>
            </w:r>
          </w:p>
        </w:tc>
      </w:tr>
      <w:tr>
        <w:trPr>
          <w:cantSplit/>
        </w:trPr>
        <w:tc>
          <w:tcPr>
            <w:tcW w:type="dxa" w:w="3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Validation failure</w:t>
            </w:r>
          </w:p>
        </w:tc>
        <w:tc>
          <w:tcPr>
            <w:tcW w:type="dxa" w:w="63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Requires the user to edit the workflow</w:t>
            </w:r>
          </w:p>
        </w:tc>
      </w:tr>
      <w:tr>
        <w:trPr>
          <w:cantSplit/>
        </w:trPr>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Rate limit</w:t>
            </w:r>
          </w:p>
        </w:tc>
        <w:tc>
          <w:tcPr>
            <w:tcW w:type="dxa" w:w="63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May use bounded backoff</w:t>
            </w:r>
          </w:p>
        </w:tc>
      </w:tr>
      <w:tr>
        <w:trPr>
          <w:cantSplit/>
        </w:trPr>
        <w:tc>
          <w:tcPr>
            <w:tcW w:type="dxa" w:w="3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Non-idempotent action failure</w:t>
            </w:r>
          </w:p>
        </w:tc>
        <w:tc>
          <w:tcPr>
            <w:tcW w:type="dxa" w:w="63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May need manual review; not retried automatically</w:t>
            </w:r>
          </w:p>
        </w:tc>
      </w:tr>
      <w:tr>
        <w:trPr>
          <w:cantSplit/>
        </w:trPr>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Partial completion</w:t>
            </w:r>
          </w:p>
        </w:tc>
        <w:tc>
          <w:tcPr>
            <w:tcW w:type="dxa" w:w="63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Shown step by step in the run details</w:t>
            </w:r>
          </w:p>
        </w:tc>
      </w:tr>
    </w:tbl>
    <w:p>
      <w:pPr>
        <w:spacing w:after="140"/>
      </w:pPr>
    </w:p>
    <w:p>
      <w:pPr>
        <w:pStyle w:val="Heading2"/>
        <w:keepNext/>
        <w:spacing w:after="120" w:before="200"/>
      </w:pPr>
      <w:r>
        <w:rPr>
          <w:rFonts w:ascii="Calibri" w:cs="Calibri" w:eastAsia="Calibri" w:hAnsi="Calibri"/>
          <w:b/>
          <w:bCs/>
          <w:color w:val="1F4E79"/>
          <w:sz w:val="26"/>
          <w:szCs w:val="26"/>
        </w:rPr>
        <w:t xml:space="preserve">7.5 Integration Lifecycle</w:t>
      </w:r>
    </w:p>
    <w:p>
      <w:pPr>
        <w:spacing w:after="120" w:before="0" w:line="288"/>
        <w:jc w:val="both"/>
      </w:pPr>
      <w:r>
        <w:rPr>
          <w:rFonts w:ascii="Times New Roman" w:cs="Times New Roman" w:eastAsia="Times New Roman" w:hAnsi="Times New Roman"/>
          <w:sz w:val="21"/>
          <w:szCs w:val="21"/>
        </w:rPr>
        <w:t xml:space="preserve">The connection lifecycle includes initiating OAuth, validating the callback, exchanging authorization data server-side, storing credentials securely, checking connection status, refreshing access when permitted, and disconnecting or revoking access.</w:t>
      </w:r>
    </w:p>
    <w:p>
      <w:pPr>
        <w:keepNext/>
        <w:spacing w:after="60" w:before="120"/>
        <w:jc w:val="center"/>
      </w:pPr>
      <w:r>
        <w:drawing>
          <wp:inline distT="0" distB="0" distL="0" distR="0">
            <wp:extent cx="4953000" cy="1781175"/>
            <wp:effectExtent t="0" r="0" b="0" l="0"/>
            <wp:docPr id="1" name="fig7_1" descr="Google OAuth Lifecycle" title="Google OAuth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1781175"/>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19"/>
          <w:szCs w:val="19"/>
        </w:rPr>
        <w:t xml:space="preserve">Figure 7.1: Google OAuth Lifecycle</w:t>
      </w:r>
    </w:p>
    <w:p>
      <w:pPr>
        <w:spacing w:after="120" w:before="0" w:line="288"/>
        <w:jc w:val="both"/>
      </w:pPr>
      <w:r>
        <w:rPr>
          <w:rFonts w:ascii="Times New Roman" w:cs="Times New Roman" w:eastAsia="Times New Roman" w:hAnsi="Times New Roman"/>
          <w:sz w:val="21"/>
          <w:szCs w:val="21"/>
        </w:rPr>
        <w:t xml:space="preserve">Connection state distinguishes connected, disconnected, needs reauthorization and unverified conditions. A badge alone is not proof that the provider token is valid; the status reflects an actual verification result and its timestamp.</w:t>
      </w:r>
    </w:p>
    <w:p>
      <w:pPr>
        <w:keepNext/>
        <w:spacing w:after="80" w:before="120"/>
        <w:jc w:val="center"/>
      </w:pPr>
      <w:r>
        <w:rPr>
          <w:rFonts w:ascii="Times New Roman" w:cs="Times New Roman" w:eastAsia="Times New Roman" w:hAnsi="Times New Roman"/>
          <w:b/>
          <w:bCs/>
          <w:color w:val="1F4E79"/>
          <w:sz w:val="20"/>
          <w:szCs w:val="20"/>
        </w:rPr>
        <w:t xml:space="preserve">Table 7.2: Planned Google Integration Capabilities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06"/>
      </w:tblGrid>
      <w:tr>
        <w:trPr>
          <w:cantSplit/>
          <w:tblHeader/>
        </w:trPr>
        <w:tc>
          <w:tcPr>
            <w:tcW w:type="dxa" w:w="19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Service</w:t>
            </w:r>
          </w:p>
        </w:tc>
        <w:tc>
          <w:tcPr>
            <w:tcW w:type="dxa" w:w="3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Planned capability</w:t>
            </w:r>
          </w:p>
        </w:tc>
        <w:tc>
          <w:tcPr>
            <w:tcW w:type="dxa" w:w="41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First-release approach</w:t>
            </w:r>
          </w:p>
        </w:tc>
      </w:tr>
      <w:tr>
        <w:trPr>
          <w:cantSplit/>
        </w:trPr>
        <w:tc>
          <w:tcPr>
            <w:tcW w:type="dxa" w:w="19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Gmail</w:t>
            </w:r>
          </w:p>
        </w:tc>
        <w:tc>
          <w:tcPr>
            <w:tcW w:type="dxa" w:w="3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Prepare an email draft for user review</w:t>
            </w:r>
          </w:p>
        </w:tc>
        <w:tc>
          <w:tcPr>
            <w:tcW w:type="dxa" w:w="41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Prefer low-risk drafts; sending needs explicit approval and logging</w:t>
            </w:r>
          </w:p>
        </w:tc>
      </w:tr>
      <w:tr>
        <w:trPr>
          <w:cantSplit/>
        </w:trPr>
        <w:tc>
          <w:tcPr>
            <w:tcW w:type="dxa" w:w="19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Google Calendar</w:t>
            </w:r>
          </w:p>
        </w:tc>
        <w:tc>
          <w:tcPr>
            <w:tcW w:type="dxa" w:w="3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Read events in a defined range and summarize minimum fields</w:t>
            </w:r>
          </w:p>
        </w:tc>
        <w:tc>
          <w:tcPr>
            <w:tcW w:type="dxa" w:w="41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User confirms the calendar and date range</w:t>
            </w:r>
          </w:p>
        </w:tc>
      </w:tr>
      <w:tr>
        <w:trPr>
          <w:cantSplit/>
        </w:trPr>
        <w:tc>
          <w:tcPr>
            <w:tcW w:type="dxa" w:w="19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Google Sheets</w:t>
            </w:r>
          </w:p>
        </w:tc>
        <w:tc>
          <w:tcPr>
            <w:tcW w:type="dxa" w:w="3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Read selected ranges; write approved rows or cells</w:t>
            </w:r>
          </w:p>
        </w:tc>
        <w:tc>
          <w:tcPr>
            <w:tcW w:type="dxa" w:w="41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User confirms spreadsheet and range before any write</w:t>
            </w:r>
          </w:p>
        </w:tc>
      </w:tr>
    </w:tbl>
    <w:p>
      <w:pPr>
        <w:spacing w:after="140"/>
      </w:pPr>
    </w:p>
    <w:p>
      <w:pPr>
        <w:pStyle w:val="Heading2"/>
        <w:keepNext/>
        <w:spacing w:after="120" w:before="200"/>
      </w:pPr>
      <w:r>
        <w:rPr>
          <w:rFonts w:ascii="Calibri" w:cs="Calibri" w:eastAsia="Calibri" w:hAnsi="Calibri"/>
          <w:b/>
          <w:bCs/>
          <w:color w:val="1F4E79"/>
          <w:sz w:val="26"/>
          <w:szCs w:val="26"/>
        </w:rPr>
        <w:t xml:space="preserve">7.6 Gmail Integration</w:t>
      </w:r>
    </w:p>
    <w:p>
      <w:pPr>
        <w:spacing w:after="120" w:before="0" w:line="288"/>
        <w:jc w:val="both"/>
      </w:pPr>
      <w:r>
        <w:rPr>
          <w:rFonts w:ascii="Times New Roman" w:cs="Times New Roman" w:eastAsia="Times New Roman" w:hAnsi="Times New Roman"/>
          <w:sz w:val="21"/>
          <w:szCs w:val="21"/>
        </w:rPr>
        <w:t xml:space="preserve">The first-release design prefers low-risk email operations such as preparing a draft for user review. If sending is later supported, it requires explicit approval, validated recipients and content, and clear execution logging. Only the required Gmail scopes are used, and message bodies or credentials are never placed in general application logs. Tests verify missing-scope behavior, revoked access, provider errors and safe display of results.</w:t>
      </w:r>
    </w:p>
    <w:p>
      <w:pPr>
        <w:pStyle w:val="Heading2"/>
        <w:keepNext/>
        <w:spacing w:after="120" w:before="200"/>
      </w:pPr>
      <w:r>
        <w:rPr>
          <w:rFonts w:ascii="Calibri" w:cs="Calibri" w:eastAsia="Calibri" w:hAnsi="Calibri"/>
          <w:b/>
          <w:bCs/>
          <w:color w:val="1F4E79"/>
          <w:sz w:val="26"/>
          <w:szCs w:val="26"/>
        </w:rPr>
        <w:t xml:space="preserve">7.7 Google Calendar Integration</w:t>
      </w:r>
    </w:p>
    <w:p>
      <w:pPr>
        <w:spacing w:after="120" w:before="0" w:line="288"/>
        <w:jc w:val="both"/>
      </w:pPr>
      <w:r>
        <w:rPr>
          <w:rFonts w:ascii="Times New Roman" w:cs="Times New Roman" w:eastAsia="Times New Roman" w:hAnsi="Times New Roman"/>
          <w:sz w:val="21"/>
          <w:szCs w:val="21"/>
        </w:rPr>
        <w:t xml:space="preserve">Calendar actions may include reading events in a defined time range and summarizing the minimum necessary fields. The user selects or confirms the relevant calendar and date range where ambiguity exists. Calendar data can contain private information, so only necessary fields are sent to the LLM and full event details are not stored in execution history unless needed. Tests cover time zones, empty results, pagination, permission denial and invalid ranges.</w:t>
      </w:r>
    </w:p>
    <w:p>
      <w:pPr>
        <w:pStyle w:val="Heading2"/>
        <w:keepNext/>
        <w:spacing w:after="120" w:before="200"/>
      </w:pPr>
      <w:r>
        <w:rPr>
          <w:rFonts w:ascii="Calibri" w:cs="Calibri" w:eastAsia="Calibri" w:hAnsi="Calibri"/>
          <w:b/>
          <w:bCs/>
          <w:color w:val="1F4E79"/>
          <w:sz w:val="26"/>
          <w:szCs w:val="26"/>
        </w:rPr>
        <w:t xml:space="preserve">7.8 Google Sheets Integration</w:t>
      </w:r>
    </w:p>
    <w:p>
      <w:pPr>
        <w:spacing w:after="120" w:before="0" w:line="288"/>
        <w:jc w:val="both"/>
      </w:pPr>
      <w:r>
        <w:rPr>
          <w:rFonts w:ascii="Times New Roman" w:cs="Times New Roman" w:eastAsia="Times New Roman" w:hAnsi="Times New Roman"/>
          <w:sz w:val="21"/>
          <w:szCs w:val="21"/>
        </w:rPr>
        <w:t xml:space="preserve">Sheets actions may read selected ranges and write approved rows or cells. The user confirms the spreadsheet and destination range before a write, and the adapter validates range formats, row sizes and supported value types. Write operations are idempotent where feasible or guarded against duplicate execution, and unrelated data is not overwritten. Tests cover missing spreadsheet access, invalid ranges, empty data, quota errors and retry behavior.</w:t>
      </w:r>
    </w:p>
    <w:p>
      <w:pPr>
        <w:pStyle w:val="Heading2"/>
        <w:keepNext/>
        <w:spacing w:after="120" w:before="200"/>
      </w:pPr>
      <w:r>
        <w:rPr>
          <w:rFonts w:ascii="Calibri" w:cs="Calibri" w:eastAsia="Calibri" w:hAnsi="Calibri"/>
          <w:b/>
          <w:bCs/>
          <w:color w:val="1F4E79"/>
          <w:sz w:val="26"/>
          <w:szCs w:val="26"/>
        </w:rPr>
        <w:t xml:space="preserve">7.9 OAuth Security and Revocation</w:t>
      </w:r>
    </w:p>
    <w:p>
      <w:pPr>
        <w:spacing w:after="120" w:before="0" w:line="288"/>
        <w:jc w:val="both"/>
      </w:pPr>
      <w:r>
        <w:rPr>
          <w:rFonts w:ascii="Times New Roman" w:cs="Times New Roman" w:eastAsia="Times New Roman" w:hAnsi="Times New Roman"/>
          <w:sz w:val="21"/>
          <w:szCs w:val="21"/>
        </w:rPr>
        <w:t xml:space="preserve">OAuth state binds the callback to the initiating session and protects against cross-site request forgery. Redirect URIs must match configured values exactly, token exchange occurs server-side, and logs redact authorization headers, codes, access tokens and refresh tokens.</w:t>
      </w:r>
    </w:p>
    <w:p>
      <w:pPr>
        <w:spacing w:after="120" w:before="0" w:line="288"/>
        <w:jc w:val="both"/>
      </w:pPr>
      <w:r>
        <w:rPr>
          <w:rFonts w:ascii="Times New Roman" w:cs="Times New Roman" w:eastAsia="Times New Roman" w:hAnsi="Times New Roman"/>
          <w:sz w:val="21"/>
          <w:szCs w:val="21"/>
        </w:rPr>
        <w:t xml:space="preserve">Disconnecting removes or revokes credentials according to the provider’s supported process and updates the connection status. The application explains if provider-side revocation requires additional action. Secrets are never stored in client-accessible tables or exposed in page props.</w:t>
      </w:r>
    </w:p>
    <w:p>
      <w:pPr>
        <w:pStyle w:val="Heading1"/>
        <w:keepNext/>
        <w:pageBreakBefore/>
        <w:spacing w:after="200"/>
      </w:pPr>
      <w:r>
        <w:rPr>
          <w:rFonts w:ascii="Calibri" w:cs="Calibri" w:eastAsia="Calibri" w:hAnsi="Calibri"/>
          <w:b/>
          <w:bCs/>
          <w:color w:val="1F4E79"/>
          <w:sz w:val="32"/>
          <w:szCs w:val="32"/>
        </w:rPr>
        <w:t xml:space="preserve">CHAPTER 8: SECURITY, PRIVACY AND GOVERNANCE</w:t>
      </w:r>
    </w:p>
    <w:p>
      <w:pPr>
        <w:pStyle w:val="Heading2"/>
        <w:keepNext/>
        <w:spacing w:after="120" w:before="200"/>
      </w:pPr>
      <w:r>
        <w:rPr>
          <w:rFonts w:ascii="Calibri" w:cs="Calibri" w:eastAsia="Calibri" w:hAnsi="Calibri"/>
          <w:b/>
          <w:bCs/>
          <w:color w:val="1F4E79"/>
          <w:sz w:val="26"/>
          <w:szCs w:val="26"/>
        </w:rPr>
        <w:t xml:space="preserve">8.1 Authentication and Authorization</w:t>
      </w:r>
    </w:p>
    <w:p>
      <w:pPr>
        <w:spacing w:after="120" w:before="0" w:line="288"/>
        <w:jc w:val="both"/>
      </w:pPr>
      <w:r>
        <w:rPr>
          <w:rFonts w:ascii="Times New Roman" w:cs="Times New Roman" w:eastAsia="Times New Roman" w:hAnsi="Times New Roman"/>
          <w:sz w:val="21"/>
          <w:szCs w:val="21"/>
        </w:rPr>
        <w:t xml:space="preserve">Private pages and API routes require a verified session. Authorization checks occur on the server for every protected resource, and a workflow ID supplied by a client is not proof of ownership. RLS is used as a database-level boundary and is tested independently of UI behavior; hidden buttons and client-side route guards are never the only protection. Sensitive operations require an explicit permission check and, where appropriate, fresh user confirmation.</w:t>
      </w:r>
    </w:p>
    <w:p>
      <w:pPr>
        <w:keepNext/>
        <w:spacing w:after="60" w:before="120"/>
        <w:jc w:val="center"/>
      </w:pPr>
      <w:r>
        <w:drawing>
          <wp:inline distT="0" distB="0" distL="0" distR="0">
            <wp:extent cx="4352925" cy="3333750"/>
            <wp:effectExtent t="0" r="0" b="0" l="0"/>
            <wp:docPr id="1" name="fig8_1" descr="Security Boundaries" title="Security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52925" cy="3333750"/>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19"/>
          <w:szCs w:val="19"/>
        </w:rPr>
        <w:t xml:space="preserve">Figure 8.1: Security Boundaries</w:t>
      </w:r>
    </w:p>
    <w:p>
      <w:pPr>
        <w:pStyle w:val="Heading2"/>
        <w:keepNext/>
        <w:spacing w:after="120" w:before="200"/>
      </w:pPr>
      <w:r>
        <w:rPr>
          <w:rFonts w:ascii="Calibri" w:cs="Calibri" w:eastAsia="Calibri" w:hAnsi="Calibri"/>
          <w:b/>
          <w:bCs/>
          <w:color w:val="1F4E79"/>
          <w:sz w:val="26"/>
          <w:szCs w:val="26"/>
        </w:rPr>
        <w:t xml:space="preserve">8.2 Secrets Management</w:t>
      </w:r>
    </w:p>
    <w:p>
      <w:pPr>
        <w:spacing w:after="120" w:before="0" w:line="288"/>
        <w:jc w:val="both"/>
      </w:pPr>
      <w:r>
        <w:rPr>
          <w:rFonts w:ascii="Times New Roman" w:cs="Times New Roman" w:eastAsia="Times New Roman" w:hAnsi="Times New Roman"/>
          <w:sz w:val="21"/>
          <w:szCs w:val="21"/>
        </w:rPr>
        <w:t xml:space="preserve">LLM keys, OAuth client secrets, service-role credentials and refresh tokens are never committed to source control or embedded in client bundles. Environment files are excluded from Git and example files contain placeholders only. Production secrets are held in the deployment platform’s secret configuration or an appropriate secrets manager, token encryption requires a key-management design with access control and rotation, and error reports and logs redact credentials.</w:t>
      </w:r>
    </w:p>
    <w:p>
      <w:pPr>
        <w:pStyle w:val="Heading2"/>
        <w:keepNext/>
        <w:spacing w:after="120" w:before="200"/>
      </w:pPr>
      <w:r>
        <w:rPr>
          <w:rFonts w:ascii="Calibri" w:cs="Calibri" w:eastAsia="Calibri" w:hAnsi="Calibri"/>
          <w:b/>
          <w:bCs/>
          <w:color w:val="1F4E79"/>
          <w:sz w:val="26"/>
          <w:szCs w:val="26"/>
        </w:rPr>
        <w:t xml:space="preserve">8.3 Data Privacy and Minimization</w:t>
      </w:r>
    </w:p>
    <w:p>
      <w:pPr>
        <w:spacing w:after="120" w:before="0" w:line="288"/>
        <w:jc w:val="both"/>
      </w:pPr>
      <w:r>
        <w:rPr>
          <w:rFonts w:ascii="Times New Roman" w:cs="Times New Roman" w:eastAsia="Times New Roman" w:hAnsi="Times New Roman"/>
          <w:sz w:val="21"/>
          <w:szCs w:val="21"/>
        </w:rPr>
        <w:t xml:space="preserve">The LLM receives only the information needed for the requested operation; entire mailboxes, calendars or spreadsheets are avoided when a selected range or limited set of fields is sufficient. Relevant provider permissions are explained before consent. The project defines what execution history retains, how users disconnect integrations, and what data is deleted when a workflow or account is removed. Privacy claims reflect implemented behavior and do not promise deletion from external providers unless it is actually performed.</w:t>
      </w:r>
    </w:p>
    <w:p>
      <w:pPr>
        <w:pStyle w:val="Heading2"/>
        <w:keepNext/>
        <w:spacing w:after="120" w:before="200"/>
      </w:pPr>
      <w:r>
        <w:rPr>
          <w:rFonts w:ascii="Calibri" w:cs="Calibri" w:eastAsia="Calibri" w:hAnsi="Calibri"/>
          <w:b/>
          <w:bCs/>
          <w:color w:val="1F4E79"/>
          <w:sz w:val="26"/>
          <w:szCs w:val="26"/>
        </w:rPr>
        <w:t xml:space="preserve">8.4 Prompt Injection and Untrusted Content</w:t>
      </w:r>
    </w:p>
    <w:p>
      <w:pPr>
        <w:spacing w:after="120" w:before="0" w:line="288"/>
        <w:jc w:val="both"/>
      </w:pPr>
      <w:r>
        <w:rPr>
          <w:rFonts w:ascii="Times New Roman" w:cs="Times New Roman" w:eastAsia="Times New Roman" w:hAnsi="Times New Roman"/>
          <w:sz w:val="21"/>
          <w:szCs w:val="21"/>
        </w:rPr>
        <w:t xml:space="preserve">Emails, calendar descriptions, spreadsheet cells, user prompts and LLM output can contain misleading instructions. These values are treated as data, not authority, and external content must not override system policy, reveal secrets or create new tool permissions. The design relies on allowlisted actions, structured schemas, bounded context and server-side authorization that is independent of model output. Instructions embedded in third-party content are not executed without a valid user request and explicit approval.</w:t>
      </w:r>
    </w:p>
    <w:p>
      <w:pPr>
        <w:pStyle w:val="Heading2"/>
        <w:keepNext/>
        <w:spacing w:after="120" w:before="200"/>
      </w:pPr>
      <w:r>
        <w:rPr>
          <w:rFonts w:ascii="Calibri" w:cs="Calibri" w:eastAsia="Calibri" w:hAnsi="Calibri"/>
          <w:b/>
          <w:bCs/>
          <w:color w:val="1F4E79"/>
          <w:sz w:val="26"/>
          <w:szCs w:val="26"/>
        </w:rPr>
        <w:t xml:space="preserve">8.5 Audit Events and Monitoring</w:t>
      </w:r>
    </w:p>
    <w:p>
      <w:pPr>
        <w:spacing w:after="120" w:before="0" w:line="288"/>
        <w:jc w:val="both"/>
      </w:pPr>
      <w:r>
        <w:rPr>
          <w:rFonts w:ascii="Times New Roman" w:cs="Times New Roman" w:eastAsia="Times New Roman" w:hAnsi="Times New Roman"/>
          <w:sz w:val="21"/>
          <w:szCs w:val="21"/>
        </w:rPr>
        <w:t xml:space="preserve">Meaningful events are recorded: integration connected or disconnected, workflow approved, run started or finished, authorization denied and security configuration changed. Each event includes an event type, actor reference, target reference, time and redacted metadata. Monitoring surfaces actionable failures without collecting unnecessary sensitive content. Security Center indicators are tied to real checks and carry a timestamp or a clear unverified state, and access to and retention of the audit log are controlled.</w:t>
      </w:r>
    </w:p>
    <w:p>
      <w:pPr>
        <w:pStyle w:val="Heading2"/>
        <w:keepNext/>
        <w:spacing w:after="120" w:before="200"/>
      </w:pPr>
      <w:r>
        <w:rPr>
          <w:rFonts w:ascii="Calibri" w:cs="Calibri" w:eastAsia="Calibri" w:hAnsi="Calibri"/>
          <w:b/>
          <w:bCs/>
          <w:color w:val="1F4E79"/>
          <w:sz w:val="26"/>
          <w:szCs w:val="26"/>
        </w:rPr>
        <w:t xml:space="preserve">8.6 Threat Model Summary</w:t>
      </w:r>
    </w:p>
    <w:p>
      <w:pPr>
        <w:spacing w:after="120" w:before="0" w:line="288"/>
        <w:jc w:val="both"/>
      </w:pPr>
      <w:r>
        <w:rPr>
          <w:rFonts w:ascii="Times New Roman" w:cs="Times New Roman" w:eastAsia="Times New Roman" w:hAnsi="Times New Roman"/>
          <w:sz w:val="21"/>
          <w:szCs w:val="21"/>
        </w:rPr>
        <w:t xml:space="preserve">Important threats include cross-user data exposure, stolen OAuth tokens, malicious or malformed LLM output, prompt injection from provider content, duplicate actions, excessive API use, insecure direct object references and accidental secret logging. Residual risks are documented rather than hidden.</w:t>
      </w:r>
    </w:p>
    <w:p>
      <w:pPr>
        <w:keepNext/>
        <w:spacing w:after="80" w:before="120"/>
        <w:jc w:val="center"/>
      </w:pPr>
      <w:r>
        <w:rPr>
          <w:rFonts w:ascii="Times New Roman" w:cs="Times New Roman" w:eastAsia="Times New Roman" w:hAnsi="Times New Roman"/>
          <w:b/>
          <w:bCs/>
          <w:color w:val="1F4E79"/>
          <w:sz w:val="20"/>
          <w:szCs w:val="20"/>
        </w:rPr>
        <w:t xml:space="preserve">Table 8.1: Threats and Mitigations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6206"/>
      </w:tblGrid>
      <w:tr>
        <w:trPr>
          <w:cantSplit/>
          <w:tblHeader/>
        </w:trPr>
        <w:tc>
          <w:tcPr>
            <w:tcW w:type="dxa" w:w="31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Threat</w:t>
            </w:r>
          </w:p>
        </w:tc>
        <w:tc>
          <w:tcPr>
            <w:tcW w:type="dxa" w:w="62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Planned mitigation</w:t>
            </w:r>
          </w:p>
        </w:tc>
      </w:tr>
      <w:tr>
        <w:trPr>
          <w:cantSplit/>
        </w:trPr>
        <w:tc>
          <w:tcPr>
            <w:tcW w:type="dxa" w:w="31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Cross-user data exposure</w:t>
            </w:r>
          </w:p>
        </w:tc>
        <w:tc>
          <w:tcPr>
            <w:tcW w:type="dxa" w:w="62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Session verification, server-side ownership checks, RLS</w:t>
            </w:r>
          </w:p>
        </w:tc>
      </w:tr>
      <w:tr>
        <w:trPr>
          <w:cantSplit/>
        </w:trPr>
        <w:tc>
          <w:tcPr>
            <w:tcW w:type="dxa" w:w="31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Stolen OAuth tokens</w:t>
            </w:r>
          </w:p>
        </w:tc>
        <w:tc>
          <w:tcPr>
            <w:tcW w:type="dxa" w:w="62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Least-privilege scopes, secure server-side token storage, log redaction</w:t>
            </w:r>
          </w:p>
        </w:tc>
      </w:tr>
      <w:tr>
        <w:trPr>
          <w:cantSplit/>
        </w:trPr>
        <w:tc>
          <w:tcPr>
            <w:tcW w:type="dxa" w:w="31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Malicious or malformed LLM output</w:t>
            </w:r>
          </w:p>
        </w:tc>
        <w:tc>
          <w:tcPr>
            <w:tcW w:type="dxa" w:w="62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Schema validation, action allowlists, user approval</w:t>
            </w:r>
          </w:p>
        </w:tc>
      </w:tr>
      <w:tr>
        <w:trPr>
          <w:cantSplit/>
        </w:trPr>
        <w:tc>
          <w:tcPr>
            <w:tcW w:type="dxa" w:w="31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Prompt injection from provider content</w:t>
            </w:r>
          </w:p>
        </w:tc>
        <w:tc>
          <w:tcPr>
            <w:tcW w:type="dxa" w:w="62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Treat content as data; allowlisted actions; explicit approval</w:t>
            </w:r>
          </w:p>
        </w:tc>
      </w:tr>
      <w:tr>
        <w:trPr>
          <w:cantSplit/>
        </w:trPr>
        <w:tc>
          <w:tcPr>
            <w:tcW w:type="dxa" w:w="31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Duplicate actions</w:t>
            </w:r>
          </w:p>
        </w:tc>
        <w:tc>
          <w:tcPr>
            <w:tcW w:type="dxa" w:w="62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Idempotency keys, timeouts, documented retry policy</w:t>
            </w:r>
          </w:p>
        </w:tc>
      </w:tr>
      <w:tr>
        <w:trPr>
          <w:cantSplit/>
        </w:trPr>
        <w:tc>
          <w:tcPr>
            <w:tcW w:type="dxa" w:w="31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Excessive API use</w:t>
            </w:r>
          </w:p>
        </w:tc>
        <w:tc>
          <w:tcPr>
            <w:tcW w:type="dxa" w:w="62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Rate limits, timeouts, execution limits</w:t>
            </w:r>
          </w:p>
        </w:tc>
      </w:tr>
      <w:tr>
        <w:trPr>
          <w:cantSplit/>
        </w:trPr>
        <w:tc>
          <w:tcPr>
            <w:tcW w:type="dxa" w:w="31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Insecure direct object references</w:t>
            </w:r>
          </w:p>
        </w:tc>
        <w:tc>
          <w:tcPr>
            <w:tcW w:type="dxa" w:w="62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Ownership checks independent of client-supplied IDs</w:t>
            </w:r>
          </w:p>
        </w:tc>
      </w:tr>
      <w:tr>
        <w:trPr>
          <w:cantSplit/>
        </w:trPr>
        <w:tc>
          <w:tcPr>
            <w:tcW w:type="dxa" w:w="31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Accidental secret logging</w:t>
            </w:r>
          </w:p>
        </w:tc>
        <w:tc>
          <w:tcPr>
            <w:tcW w:type="dxa" w:w="62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Safe logging, redaction, secret scanning, dependency review</w:t>
            </w:r>
          </w:p>
        </w:tc>
      </w:tr>
    </w:tbl>
    <w:p>
      <w:pPr>
        <w:spacing w:after="140"/>
      </w:pPr>
    </w:p>
    <w:p>
      <w:pPr>
        <w:pStyle w:val="Heading1"/>
        <w:keepNext/>
        <w:pageBreakBefore/>
        <w:spacing w:after="200"/>
      </w:pPr>
      <w:r>
        <w:rPr>
          <w:rFonts w:ascii="Calibri" w:cs="Calibri" w:eastAsia="Calibri" w:hAnsi="Calibri"/>
          <w:b/>
          <w:bCs/>
          <w:color w:val="1F4E79"/>
          <w:sz w:val="32"/>
          <w:szCs w:val="32"/>
        </w:rPr>
        <w:t xml:space="preserve">CHAPTER 9: TESTING AND QUALITY ASSURANCE</w:t>
      </w:r>
    </w:p>
    <w:p>
      <w:pPr>
        <w:pStyle w:val="Heading2"/>
        <w:keepNext/>
        <w:spacing w:after="120" w:before="200"/>
      </w:pPr>
      <w:r>
        <w:rPr>
          <w:rFonts w:ascii="Calibri" w:cs="Calibri" w:eastAsia="Calibri" w:hAnsi="Calibri"/>
          <w:b/>
          <w:bCs/>
          <w:color w:val="1F4E79"/>
          <w:sz w:val="26"/>
          <w:szCs w:val="26"/>
        </w:rPr>
        <w:t xml:space="preserve">9.1 Unit and Component Testing</w:t>
      </w:r>
    </w:p>
    <w:p>
      <w:pPr>
        <w:spacing w:after="120" w:before="0" w:line="288"/>
        <w:jc w:val="both"/>
      </w:pPr>
      <w:r>
        <w:rPr>
          <w:rFonts w:ascii="Times New Roman" w:cs="Times New Roman" w:eastAsia="Times New Roman" w:hAnsi="Times New Roman"/>
          <w:sz w:val="21"/>
          <w:szCs w:val="21"/>
        </w:rPr>
        <w:t xml:space="preserve">Unit tests cover workflow schema parsing, action registry behavior, permission mapping, status transitions, idempotency decisions, redaction helpers and error classification. Each test uses deterministic inputs and asserts both successful and rejected cases. Component tests cover form validation, loading indicators, empty states, connection badges, confirmation dialogs, keyboard navigation and error messages. Mocked provider responses are clearly identified so they are not mistaken for live integration proof.</w:t>
      </w:r>
    </w:p>
    <w:p>
      <w:pPr>
        <w:pStyle w:val="Heading2"/>
        <w:keepNext/>
        <w:spacing w:after="120" w:before="200"/>
      </w:pPr>
      <w:r>
        <w:rPr>
          <w:rFonts w:ascii="Calibri" w:cs="Calibri" w:eastAsia="Calibri" w:hAnsi="Calibri"/>
          <w:b/>
          <w:bCs/>
          <w:color w:val="1F4E79"/>
          <w:sz w:val="26"/>
          <w:szCs w:val="26"/>
        </w:rPr>
        <w:t xml:space="preserve">9.2 Integration Testing</w:t>
      </w:r>
    </w:p>
    <w:p>
      <w:pPr>
        <w:spacing w:after="120" w:before="0" w:line="288"/>
        <w:jc w:val="both"/>
      </w:pPr>
      <w:r>
        <w:rPr>
          <w:rFonts w:ascii="Times New Roman" w:cs="Times New Roman" w:eastAsia="Times New Roman" w:hAnsi="Times New Roman"/>
          <w:sz w:val="21"/>
          <w:szCs w:val="21"/>
        </w:rPr>
        <w:t xml:space="preserve">Integration tests verify that server services interact correctly with the database, authentication layer, LLM adapter and Google API adapters. An isolated test environment and dedicated test accounts are used, and destructive tests are never run against production data. The tests cover invalid model output, missing OAuth scopes, expired or revoked tokens, rate limits, malformed provider responses and database failures, and record which integrations were mocked and which were exercised against a real test provider.</w:t>
      </w:r>
    </w:p>
    <w:p>
      <w:pPr>
        <w:pStyle w:val="Heading2"/>
        <w:keepNext/>
        <w:spacing w:after="120" w:before="200"/>
      </w:pPr>
      <w:r>
        <w:rPr>
          <w:rFonts w:ascii="Calibri" w:cs="Calibri" w:eastAsia="Calibri" w:hAnsi="Calibri"/>
          <w:b/>
          <w:bCs/>
          <w:color w:val="1F4E79"/>
          <w:sz w:val="26"/>
          <w:szCs w:val="26"/>
        </w:rPr>
        <w:t xml:space="preserve">9.3 RLS and Authorization Testing</w:t>
      </w:r>
    </w:p>
    <w:p>
      <w:pPr>
        <w:spacing w:after="120" w:before="0" w:line="288"/>
        <w:jc w:val="both"/>
      </w:pPr>
      <w:r>
        <w:rPr>
          <w:rFonts w:ascii="Times New Roman" w:cs="Times New Roman" w:eastAsia="Times New Roman" w:hAnsi="Times New Roman"/>
          <w:sz w:val="21"/>
          <w:szCs w:val="21"/>
        </w:rPr>
        <w:t xml:space="preserve">At least two test users are created to verify that each can access only their own workflows, integrations, runs and approval records. The tests cover anonymous requests, guessed resource IDs, update attempts that change owner_id, and attempts to invoke actions on another user’s workflow. Policies are tested for each relevant SQL operation, with realistic authenticated identities; a passing UI test is not enough to prove RLS isolation.</w:t>
      </w:r>
    </w:p>
    <w:p>
      <w:pPr>
        <w:pStyle w:val="Heading2"/>
        <w:keepNext/>
        <w:spacing w:after="120" w:before="200"/>
      </w:pPr>
      <w:r>
        <w:rPr>
          <w:rFonts w:ascii="Calibri" w:cs="Calibri" w:eastAsia="Calibri" w:hAnsi="Calibri"/>
          <w:b/>
          <w:bCs/>
          <w:color w:val="1F4E79"/>
          <w:sz w:val="26"/>
          <w:szCs w:val="26"/>
        </w:rPr>
        <w:t xml:space="preserve">9.4 End-to-End Testing</w:t>
      </w:r>
    </w:p>
    <w:p>
      <w:pPr>
        <w:spacing w:after="120" w:before="0" w:line="288"/>
        <w:jc w:val="both"/>
      </w:pPr>
      <w:r>
        <w:rPr>
          <w:rFonts w:ascii="Times New Roman" w:cs="Times New Roman" w:eastAsia="Times New Roman" w:hAnsi="Times New Roman"/>
          <w:sz w:val="21"/>
          <w:szCs w:val="21"/>
        </w:rPr>
        <w:t xml:space="preserve">Browser-level tests cover sign-in, dashboard loading, creating a workflow draft, reviewing a proposal, handling an unconnected integration, approving a safe workflow and inspecting the resulting run history. Sensitive actions are tested to ensure confirmation is required. Tests also verify responsive layout, accessible controls, failed API states and session expiry, and tests that depend on live OAuth consent or provider availability are marked separately from deterministic CI tests.</w:t>
      </w:r>
    </w:p>
    <w:p>
      <w:pPr>
        <w:pStyle w:val="Heading2"/>
        <w:keepNext/>
        <w:spacing w:after="120" w:before="200"/>
      </w:pPr>
      <w:r>
        <w:rPr>
          <w:rFonts w:ascii="Calibri" w:cs="Calibri" w:eastAsia="Calibri" w:hAnsi="Calibri"/>
          <w:b/>
          <w:bCs/>
          <w:color w:val="1F4E79"/>
          <w:sz w:val="26"/>
          <w:szCs w:val="26"/>
        </w:rPr>
        <w:t xml:space="preserve">9.5 Security and Release Checks</w:t>
      </w:r>
    </w:p>
    <w:p>
      <w:pPr>
        <w:spacing w:after="120" w:before="0" w:line="288"/>
        <w:jc w:val="both"/>
      </w:pPr>
      <w:r>
        <w:rPr>
          <w:rFonts w:ascii="Times New Roman" w:cs="Times New Roman" w:eastAsia="Times New Roman" w:hAnsi="Times New Roman"/>
          <w:sz w:val="21"/>
          <w:szCs w:val="21"/>
        </w:rPr>
        <w:t xml:space="preserve">Before a module is considered complete, the team runs lint, the TypeScript type-check, unit tests, relevant integration tests, RLS tests and a production build, then reviews the Git diff and scans for secrets. For release candidates, end-to-end tests and dependency and security checks are added. A security control is never disabled simply to make a test pass, and a check is never reported as passed if it was not executed.</w:t>
      </w:r>
    </w:p>
    <w:p>
      <w:pPr>
        <w:keepNext/>
        <w:spacing w:after="80" w:before="120"/>
        <w:jc w:val="center"/>
      </w:pPr>
      <w:r>
        <w:rPr>
          <w:rFonts w:ascii="Times New Roman" w:cs="Times New Roman" w:eastAsia="Times New Roman" w:hAnsi="Times New Roman"/>
          <w:b/>
          <w:bCs/>
          <w:color w:val="1F4E79"/>
          <w:sz w:val="20"/>
          <w:szCs w:val="20"/>
        </w:rPr>
        <w:t xml:space="preserve">Table 9.1: Testing Levels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06"/>
      </w:tblGrid>
      <w:tr>
        <w:trPr>
          <w:cantSplit/>
          <w:tblHeader/>
        </w:trPr>
        <w:tc>
          <w:tcPr>
            <w:tcW w:type="dxa" w:w="20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Level</w:t>
            </w:r>
          </w:p>
        </w:tc>
        <w:tc>
          <w:tcPr>
            <w:tcW w:type="dxa" w:w="30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Tools / environment</w:t>
            </w:r>
          </w:p>
        </w:tc>
        <w:tc>
          <w:tcPr>
            <w:tcW w:type="dxa" w:w="43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Focus</w:t>
            </w:r>
          </w:p>
        </w:tc>
      </w:tr>
      <w:tr>
        <w:trPr>
          <w:cantSplit/>
        </w:trPr>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Unit</w:t>
            </w:r>
          </w:p>
        </w:tc>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Vitest</w:t>
            </w:r>
          </w:p>
        </w:tc>
        <w:tc>
          <w:tcPr>
            <w:tcW w:type="dxa" w:w="43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Schemas, registry, permissions, status transitions, redaction</w:t>
            </w:r>
          </w:p>
        </w:tc>
      </w:tr>
      <w:tr>
        <w:trPr>
          <w:cantSplit/>
        </w:trPr>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Component</w:t>
            </w:r>
          </w:p>
        </w:tc>
        <w:tc>
          <w:tcPr>
            <w:tcW w:type="dxa" w:w="3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React Testing Library</w:t>
            </w:r>
          </w:p>
        </w:tc>
        <w:tc>
          <w:tcPr>
            <w:tcW w:type="dxa" w:w="43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Forms, states, dialogs, keyboard behavior</w:t>
            </w:r>
          </w:p>
        </w:tc>
      </w:tr>
      <w:tr>
        <w:trPr>
          <w:cantSplit/>
        </w:trPr>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Integration</w:t>
            </w:r>
          </w:p>
        </w:tc>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Isolated Supabase environment, test accounts</w:t>
            </w:r>
          </w:p>
        </w:tc>
        <w:tc>
          <w:tcPr>
            <w:tcW w:type="dxa" w:w="43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Services, auth, LLM and Google adapters</w:t>
            </w:r>
          </w:p>
        </w:tc>
      </w:tr>
      <w:tr>
        <w:trPr>
          <w:cantSplit/>
        </w:trPr>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RLS and authorization</w:t>
            </w:r>
          </w:p>
        </w:tc>
        <w:tc>
          <w:tcPr>
            <w:tcW w:type="dxa" w:w="3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Two or more test users</w:t>
            </w:r>
          </w:p>
        </w:tc>
        <w:tc>
          <w:tcPr>
            <w:tcW w:type="dxa" w:w="43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Anonymous denial, cross-user isolation, ownership changes</w:t>
            </w:r>
          </w:p>
        </w:tc>
      </w:tr>
      <w:tr>
        <w:trPr>
          <w:cantSplit/>
        </w:trPr>
        <w:tc>
          <w:tcPr>
            <w:tcW w:type="dxa" w:w="2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End-to-end</w:t>
            </w:r>
          </w:p>
        </w:tc>
        <w:tc>
          <w:tcPr>
            <w:tcW w:type="dxa" w:w="30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Playwright</w:t>
            </w:r>
          </w:p>
        </w:tc>
        <w:tc>
          <w:tcPr>
            <w:tcW w:type="dxa" w:w="43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Complete user flows, responsive and session behavior</w:t>
            </w:r>
          </w:p>
        </w:tc>
      </w:tr>
      <w:tr>
        <w:trPr>
          <w:cantSplit/>
        </w:trPr>
        <w:tc>
          <w:tcPr>
            <w:tcW w:type="dxa" w:w="2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Release checks</w:t>
            </w:r>
          </w:p>
        </w:tc>
        <w:tc>
          <w:tcPr>
            <w:tcW w:type="dxa" w:w="30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Lint, type-check, build, secret scan</w:t>
            </w:r>
          </w:p>
        </w:tc>
        <w:tc>
          <w:tcPr>
            <w:tcW w:type="dxa" w:w="43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Pre-release verification with recorded results</w:t>
            </w:r>
          </w:p>
        </w:tc>
      </w:tr>
    </w:tbl>
    <w:p>
      <w:pPr>
        <w:spacing w:after="140"/>
      </w:pPr>
    </w:p>
    <w:p>
      <w:pPr>
        <w:pStyle w:val="Heading1"/>
        <w:keepNext/>
        <w:pageBreakBefore/>
        <w:spacing w:after="200"/>
      </w:pPr>
      <w:r>
        <w:rPr>
          <w:rFonts w:ascii="Calibri" w:cs="Calibri" w:eastAsia="Calibri" w:hAnsi="Calibri"/>
          <w:b/>
          <w:bCs/>
          <w:color w:val="1F4E79"/>
          <w:sz w:val="32"/>
          <w:szCs w:val="32"/>
        </w:rPr>
        <w:t xml:space="preserve">CHAPTER 10: DEVELOPMENT PLAN AND COMPLETION GATES</w:t>
      </w:r>
    </w:p>
    <w:p>
      <w:pPr>
        <w:pStyle w:val="Heading2"/>
        <w:keepNext/>
        <w:spacing w:after="120" w:before="200"/>
      </w:pPr>
      <w:r>
        <w:rPr>
          <w:rFonts w:ascii="Calibri" w:cs="Calibri" w:eastAsia="Calibri" w:hAnsi="Calibri"/>
          <w:b/>
          <w:bCs/>
          <w:color w:val="1F4E79"/>
          <w:sz w:val="26"/>
          <w:szCs w:val="26"/>
        </w:rPr>
        <w:t xml:space="preserve">10.1 Overview of the Plan</w:t>
      </w:r>
    </w:p>
    <w:p>
      <w:pPr>
        <w:spacing w:after="120" w:before="0" w:line="288"/>
        <w:jc w:val="both"/>
      </w:pPr>
      <w:r>
        <w:rPr>
          <w:rFonts w:ascii="Times New Roman" w:cs="Times New Roman" w:eastAsia="Times New Roman" w:hAnsi="Times New Roman"/>
          <w:sz w:val="21"/>
          <w:szCs w:val="21"/>
        </w:rPr>
        <w:t xml:space="preserve">Development is divided into eight modules. Each module has a defined scope and a completion gate, and work stops for approval after every module. No feature is represented as complete without evidence.</w:t>
      </w:r>
    </w:p>
    <w:p>
      <w:pPr>
        <w:keepNext/>
        <w:spacing w:after="60" w:before="120"/>
        <w:jc w:val="center"/>
      </w:pPr>
      <w:r>
        <w:drawing>
          <wp:inline distT="0" distB="0" distL="0" distR="0">
            <wp:extent cx="4953000" cy="2009775"/>
            <wp:effectExtent t="0" r="0" b="0" l="0"/>
            <wp:docPr id="1" name="fig10_1" descr="Module Completion Gate Sequence" title="Module Completion Gat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2009775"/>
                    </a:xfrm>
                    <a:prstGeom prst="rect">
                      <a:avLst/>
                    </a:prstGeom>
                  </pic:spPr>
                </pic:pic>
              </a:graphicData>
            </a:graphic>
          </wp:inline>
        </w:drawing>
      </w:r>
    </w:p>
    <w:p>
      <w:pPr>
        <w:spacing w:after="160"/>
        <w:jc w:val="center"/>
      </w:pPr>
      <w:r>
        <w:rPr>
          <w:rFonts w:ascii="Times New Roman" w:cs="Times New Roman" w:eastAsia="Times New Roman" w:hAnsi="Times New Roman"/>
          <w:i/>
          <w:iCs/>
          <w:color w:val="333333"/>
          <w:sz w:val="19"/>
          <w:szCs w:val="19"/>
        </w:rPr>
        <w:t xml:space="preserve">Figure 10.1: Module Completion Gate Sequence</w:t>
      </w:r>
    </w:p>
    <w:p>
      <w:pPr>
        <w:keepNext/>
        <w:spacing w:after="80" w:before="120"/>
        <w:jc w:val="center"/>
      </w:pPr>
      <w:r>
        <w:rPr>
          <w:rFonts w:ascii="Times New Roman" w:cs="Times New Roman" w:eastAsia="Times New Roman" w:hAnsi="Times New Roman"/>
          <w:b/>
          <w:bCs/>
          <w:color w:val="1F4E79"/>
          <w:sz w:val="20"/>
          <w:szCs w:val="20"/>
        </w:rPr>
        <w:t xml:space="preserve">Table 10.1: Modules and Completion Gates</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06"/>
      </w:tblGrid>
      <w:tr>
        <w:trPr>
          <w:cantSplit/>
          <w:tblHeader/>
        </w:trPr>
        <w:tc>
          <w:tcPr>
            <w:tcW w:type="dxa" w:w="2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Module</w:t>
            </w:r>
          </w:p>
        </w:tc>
        <w:tc>
          <w:tcPr>
            <w:tcW w:type="dxa" w:w="33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Main work</w:t>
            </w:r>
          </w:p>
        </w:tc>
        <w:tc>
          <w:tcPr>
            <w:tcW w:type="dxa" w:w="37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Key completion evidence</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1  Repository Audit</w:t>
            </w:r>
          </w:p>
        </w:tc>
        <w:tc>
          <w:tcPr>
            <w:tcW w:type="dxa" w:w="3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Inspect structure, scripts, Supabase setup and environment names</w:t>
            </w:r>
          </w:p>
        </w:tc>
        <w:tc>
          <w:tcPr>
            <w:tcW w:type="dxa" w:w="3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Findings documented; baseline lint, type-check and build recorded</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2  Authentication and RLS</w:t>
            </w:r>
          </w:p>
        </w:tc>
        <w:tc>
          <w:tcPr>
            <w:tcW w:type="dxa" w:w="3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Sign-in, protected routes, ownership fields, policies</w:t>
            </w:r>
          </w:p>
        </w:tc>
        <w:tc>
          <w:tcPr>
            <w:tcW w:type="dxa" w:w="3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RLS tests pass; ownership cannot be changed by untrusted requests</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3  Dashboard Overview</w:t>
            </w:r>
          </w:p>
        </w:tc>
        <w:tc>
          <w:tcPr>
            <w:tcW w:type="dxa" w:w="3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Navigation, cards, recent workflows and runs</w:t>
            </w:r>
          </w:p>
        </w:tc>
        <w:tc>
          <w:tcPr>
            <w:tcW w:type="dxa" w:w="3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Owner-scoped real queries; no hardcoded live metrics</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4  AI Workflow Builder</w:t>
            </w:r>
          </w:p>
        </w:tc>
        <w:tc>
          <w:tcPr>
            <w:tcW w:type="dxa" w:w="3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Server-side LLM requests, Zod schemas, preview, save and approve</w:t>
            </w:r>
          </w:p>
        </w:tc>
        <w:tc>
          <w:tcPr>
            <w:tcW w:type="dxa" w:w="3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Valid and invalid outputs tested; unsupported actions blocked</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5  Google Integrations</w:t>
            </w:r>
          </w:p>
        </w:tc>
        <w:tc>
          <w:tcPr>
            <w:tcW w:type="dxa" w:w="3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OAuth and adapters for Gmail, Calendar, Sheets</w:t>
            </w:r>
          </w:p>
        </w:tc>
        <w:tc>
          <w:tcPr>
            <w:tcW w:type="dxa" w:w="3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OAuth state and redirect tested; secrets redacted</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6  Execution Engine</w:t>
            </w:r>
          </w:p>
        </w:tc>
        <w:tc>
          <w:tcPr>
            <w:tcW w:type="dxa" w:w="3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Action handlers, run states, retries, history</w:t>
            </w:r>
          </w:p>
        </w:tc>
        <w:tc>
          <w:tcPr>
            <w:tcW w:type="dxa" w:w="3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Invalid transitions rejected; duplicate-run protection tested</w:t>
            </w:r>
          </w:p>
        </w:tc>
      </w:tr>
      <w:tr>
        <w:trPr>
          <w:cantSplit/>
        </w:trPr>
        <w:tc>
          <w:tcPr>
            <w:tcW w:type="dxa" w:w="2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7  Security Center</w:t>
            </w:r>
          </w:p>
        </w:tc>
        <w:tc>
          <w:tcPr>
            <w:tcW w:type="dxa" w:w="33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Accounts, permissions, approvals, audit events</w:t>
            </w:r>
          </w:p>
        </w:tc>
        <w:tc>
          <w:tcPr>
            <w:tcW w:type="dxa" w:w="37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Each indicator maps to a real check or is labeled unverified</w:t>
            </w:r>
          </w:p>
        </w:tc>
      </w:tr>
      <w:tr>
        <w:trPr>
          <w:cantSplit/>
        </w:trPr>
        <w:tc>
          <w:tcPr>
            <w:tcW w:type="dxa" w:w="2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8  Production Readiness</w:t>
            </w:r>
          </w:p>
        </w:tc>
        <w:tc>
          <w:tcPr>
            <w:tcW w:type="dxa" w:w="33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Full tests, security review, deployment setup</w:t>
            </w:r>
          </w:p>
        </w:tc>
        <w:tc>
          <w:tcPr>
            <w:tcW w:type="dxa" w:w="37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Actual results recorded; final approval before deployment</w:t>
            </w:r>
          </w:p>
        </w:tc>
      </w:tr>
    </w:tbl>
    <w:p>
      <w:pPr>
        <w:spacing w:after="140"/>
      </w:pPr>
    </w:p>
    <w:p>
      <w:pPr>
        <w:pStyle w:val="Heading2"/>
        <w:keepNext/>
        <w:pageBreakBefore/>
        <w:spacing w:after="120" w:before="200"/>
      </w:pPr>
      <w:r>
        <w:rPr>
          <w:rFonts w:ascii="Calibri" w:cs="Calibri" w:eastAsia="Calibri" w:hAnsi="Calibri"/>
          <w:b/>
          <w:bCs/>
          <w:color w:val="1F4E79"/>
          <w:sz w:val="26"/>
          <w:szCs w:val="26"/>
        </w:rPr>
        <w:t xml:space="preserve">10.2 Module 1 — Repository Audit and Foundation</w:t>
      </w:r>
    </w:p>
    <w:p>
      <w:pPr>
        <w:spacing w:after="120" w:before="0" w:line="288"/>
        <w:jc w:val="both"/>
      </w:pPr>
      <w:r>
        <w:rPr>
          <w:rFonts w:ascii="Times New Roman" w:cs="Times New Roman" w:eastAsia="Times New Roman" w:hAnsi="Times New Roman"/>
          <w:sz w:val="21"/>
          <w:szCs w:val="21"/>
        </w:rPr>
        <w:t xml:space="preserve">Inspect the repository structure, package manager, existing routes, environment variable names, Supabase setup, test scripts and installed Antigravity skills. Confirm the current Git status before editing files, reuse working code and avoid replacing existing configuration without a reason.</w:t>
      </w:r>
    </w:p>
    <w:p>
      <w:pPr>
        <w:spacing w:after="120" w:before="0" w:line="288"/>
        <w:jc w:val="both"/>
      </w:pPr>
      <w:r>
        <w:rPr>
          <w:rFonts w:ascii="Times New Roman" w:cs="Times New Roman" w:eastAsia="Times New Roman" w:hAnsi="Times New Roman"/>
          <w:b/>
          <w:bCs/>
          <w:sz w:val="21"/>
          <w:szCs w:val="21"/>
        </w:rPr>
        <w:t xml:space="preserve">Completion gate:</w:t>
      </w:r>
      <w:r>
        <w:rPr>
          <w:rFonts w:ascii="Times New Roman" w:cs="Times New Roman" w:eastAsia="Times New Roman" w:hAnsi="Times New Roman"/>
          <w:sz w:val="21"/>
          <w:szCs w:val="21"/>
        </w:rPr>
        <w:t xml:space="preserve"> architecture findings documented; baseline lint, type-check and build status recorded; required dependencies justified; secrets not exposed; and proposed changes reviewed. Stop and wait for approval before Module 2.</w:t>
      </w:r>
    </w:p>
    <w:p>
      <w:pPr>
        <w:pStyle w:val="Heading2"/>
        <w:keepNext/>
        <w:spacing w:after="120" w:before="200"/>
      </w:pPr>
      <w:r>
        <w:rPr>
          <w:rFonts w:ascii="Calibri" w:cs="Calibri" w:eastAsia="Calibri" w:hAnsi="Calibri"/>
          <w:b/>
          <w:bCs/>
          <w:color w:val="1F4E79"/>
          <w:sz w:val="26"/>
          <w:szCs w:val="26"/>
        </w:rPr>
        <w:t xml:space="preserve">10.3 Module 2 — Authentication and RLS</w:t>
      </w:r>
    </w:p>
    <w:p>
      <w:pPr>
        <w:spacing w:after="120" w:before="0" w:line="288"/>
        <w:jc w:val="both"/>
      </w:pPr>
      <w:r>
        <w:rPr>
          <w:rFonts w:ascii="Times New Roman" w:cs="Times New Roman" w:eastAsia="Times New Roman" w:hAnsi="Times New Roman"/>
          <w:sz w:val="21"/>
          <w:szCs w:val="21"/>
        </w:rPr>
        <w:t xml:space="preserve">Implement or verify sign-in, sign-out, protected routes, server-side session checks, database migrations, ownership fields and RLS policies. Create tests for anonymous denial and cross-user isolation, and keep service-role credentials server-only.</w:t>
      </w:r>
    </w:p>
    <w:p>
      <w:pPr>
        <w:spacing w:after="120" w:before="0" w:line="288"/>
        <w:jc w:val="both"/>
      </w:pPr>
      <w:r>
        <w:rPr>
          <w:rFonts w:ascii="Times New Roman" w:cs="Times New Roman" w:eastAsia="Times New Roman" w:hAnsi="Times New Roman"/>
          <w:b/>
          <w:bCs/>
          <w:sz w:val="21"/>
          <w:szCs w:val="21"/>
        </w:rPr>
        <w:t xml:space="preserve">Completion gate:</w:t>
      </w:r>
      <w:r>
        <w:rPr>
          <w:rFonts w:ascii="Times New Roman" w:cs="Times New Roman" w:eastAsia="Times New Roman" w:hAnsi="Times New Roman"/>
          <w:sz w:val="21"/>
          <w:szCs w:val="21"/>
        </w:rPr>
        <w:t xml:space="preserve"> authentication flows work in the configured test environment; RLS tests pass; ownership cannot be changed by an untrusted request; migrations are reviewed; and unresolved security risks are listed. Stop for approval.</w:t>
      </w:r>
    </w:p>
    <w:p>
      <w:pPr>
        <w:pStyle w:val="Heading2"/>
        <w:keepNext/>
        <w:spacing w:after="120" w:before="200"/>
      </w:pPr>
      <w:r>
        <w:rPr>
          <w:rFonts w:ascii="Calibri" w:cs="Calibri" w:eastAsia="Calibri" w:hAnsi="Calibri"/>
          <w:b/>
          <w:bCs/>
          <w:color w:val="1F4E79"/>
          <w:sz w:val="26"/>
          <w:szCs w:val="26"/>
        </w:rPr>
        <w:t xml:space="preserve">10.4 Module 3 — Dashboard Overview</w:t>
      </w:r>
    </w:p>
    <w:p>
      <w:pPr>
        <w:spacing w:after="120" w:before="0" w:line="288"/>
        <w:jc w:val="both"/>
      </w:pPr>
      <w:r>
        <w:rPr>
          <w:rFonts w:ascii="Times New Roman" w:cs="Times New Roman" w:eastAsia="Times New Roman" w:hAnsi="Times New Roman"/>
          <w:sz w:val="21"/>
          <w:szCs w:val="21"/>
        </w:rPr>
        <w:t xml:space="preserve">Build responsive navigation, summary cards, recent workflows, recent runs, integration status, loading states, empty states and error states. Connect each displayed metric to authenticated database queries and clearly label any prototype sample data.</w:t>
      </w:r>
    </w:p>
    <w:p>
      <w:pPr>
        <w:spacing w:after="120" w:before="0" w:line="288"/>
        <w:jc w:val="both"/>
      </w:pPr>
      <w:r>
        <w:rPr>
          <w:rFonts w:ascii="Times New Roman" w:cs="Times New Roman" w:eastAsia="Times New Roman" w:hAnsi="Times New Roman"/>
          <w:b/>
          <w:bCs/>
          <w:sz w:val="21"/>
          <w:szCs w:val="21"/>
        </w:rPr>
        <w:t xml:space="preserve">Completion gate:</w:t>
      </w:r>
      <w:r>
        <w:rPr>
          <w:rFonts w:ascii="Times New Roman" w:cs="Times New Roman" w:eastAsia="Times New Roman" w:hAnsi="Times New Roman"/>
          <w:sz w:val="21"/>
          <w:szCs w:val="21"/>
        </w:rPr>
        <w:t xml:space="preserve"> real queries are owner-scoped; loading and error cases are tested; responsive layout is reviewed; no hardcoded live metrics remain; and accessibility basics are checked. Stop for approval.</w:t>
      </w:r>
    </w:p>
    <w:p>
      <w:pPr>
        <w:pStyle w:val="Heading2"/>
        <w:keepNext/>
        <w:spacing w:after="120" w:before="200"/>
      </w:pPr>
      <w:r>
        <w:rPr>
          <w:rFonts w:ascii="Calibri" w:cs="Calibri" w:eastAsia="Calibri" w:hAnsi="Calibri"/>
          <w:b/>
          <w:bCs/>
          <w:color w:val="1F4E79"/>
          <w:sz w:val="26"/>
          <w:szCs w:val="26"/>
        </w:rPr>
        <w:t xml:space="preserve">10.5 Module 4 — AI Workflow Builder</w:t>
      </w:r>
    </w:p>
    <w:p>
      <w:pPr>
        <w:spacing w:after="120" w:before="0" w:line="288"/>
        <w:jc w:val="both"/>
      </w:pPr>
      <w:r>
        <w:rPr>
          <w:rFonts w:ascii="Times New Roman" w:cs="Times New Roman" w:eastAsia="Times New Roman" w:hAnsi="Times New Roman"/>
          <w:sz w:val="21"/>
          <w:szCs w:val="21"/>
        </w:rPr>
        <w:t xml:space="preserve">Implement server-side LLM requests, versioned Zod schemas, action registry validation, workflow preview, editing, save and cancel, and approval state. Reject unknown action identifiers and malformed parameters, and do not execute arbitrary generated code.</w:t>
      </w:r>
    </w:p>
    <w:p>
      <w:pPr>
        <w:spacing w:after="120" w:before="0" w:line="288"/>
        <w:jc w:val="both"/>
      </w:pPr>
      <w:r>
        <w:rPr>
          <w:rFonts w:ascii="Times New Roman" w:cs="Times New Roman" w:eastAsia="Times New Roman" w:hAnsi="Times New Roman"/>
          <w:b/>
          <w:bCs/>
          <w:sz w:val="21"/>
          <w:szCs w:val="21"/>
        </w:rPr>
        <w:t xml:space="preserve">Completion gate:</w:t>
      </w:r>
      <w:r>
        <w:rPr>
          <w:rFonts w:ascii="Times New Roman" w:cs="Times New Roman" w:eastAsia="Times New Roman" w:hAnsi="Times New Roman"/>
          <w:sz w:val="21"/>
          <w:szCs w:val="21"/>
        </w:rPr>
        <w:t xml:space="preserve"> valid and invalid model outputs are tested; unsupported actions are blocked; secrets are absent from prompts and browser responses; saved definitions are owner-scoped; and approval is separate from generation. Stop for approval.</w:t>
      </w:r>
    </w:p>
    <w:p>
      <w:pPr>
        <w:pStyle w:val="Heading2"/>
        <w:keepNext/>
        <w:spacing w:after="120" w:before="200"/>
      </w:pPr>
      <w:r>
        <w:rPr>
          <w:rFonts w:ascii="Calibri" w:cs="Calibri" w:eastAsia="Calibri" w:hAnsi="Calibri"/>
          <w:b/>
          <w:bCs/>
          <w:color w:val="1F4E79"/>
          <w:sz w:val="26"/>
          <w:szCs w:val="26"/>
        </w:rPr>
        <w:t xml:space="preserve">10.6 Module 5 — Google Integrations</w:t>
      </w:r>
    </w:p>
    <w:p>
      <w:pPr>
        <w:spacing w:after="120" w:before="0" w:line="288"/>
        <w:jc w:val="both"/>
      </w:pPr>
      <w:r>
        <w:rPr>
          <w:rFonts w:ascii="Times New Roman" w:cs="Times New Roman" w:eastAsia="Times New Roman" w:hAnsi="Times New Roman"/>
          <w:sz w:val="21"/>
          <w:szCs w:val="21"/>
        </w:rPr>
        <w:t xml:space="preserve">Configure OAuth and provider adapters for Gmail, Calendar and Sheets. Request least-privilege scopes, protect credentials, show connection status, handle reconnect and disconnect, and explain permissions. Start with low-risk actions such as reading permitted data or writing an approved spreadsheet row.</w:t>
      </w:r>
    </w:p>
    <w:p>
      <w:pPr>
        <w:spacing w:after="120" w:before="0" w:line="288"/>
        <w:jc w:val="both"/>
      </w:pPr>
      <w:r>
        <w:rPr>
          <w:rFonts w:ascii="Times New Roman" w:cs="Times New Roman" w:eastAsia="Times New Roman" w:hAnsi="Times New Roman"/>
          <w:b/>
          <w:bCs/>
          <w:sz w:val="21"/>
          <w:szCs w:val="21"/>
        </w:rPr>
        <w:t xml:space="preserve">Completion gate:</w:t>
      </w:r>
      <w:r>
        <w:rPr>
          <w:rFonts w:ascii="Times New Roman" w:cs="Times New Roman" w:eastAsia="Times New Roman" w:hAnsi="Times New Roman"/>
          <w:sz w:val="21"/>
          <w:szCs w:val="21"/>
        </w:rPr>
        <w:t xml:space="preserve"> OAuth state and redirect validation are tested; secrets are redacted; scope requirements are documented; provider failures are handled; disconnect behavior is verified; and integration test limitations are recorded. Stop for approval.</w:t>
      </w:r>
    </w:p>
    <w:p>
      <w:pPr>
        <w:pStyle w:val="Heading2"/>
        <w:keepNext/>
        <w:spacing w:after="120" w:before="200"/>
      </w:pPr>
      <w:r>
        <w:rPr>
          <w:rFonts w:ascii="Calibri" w:cs="Calibri" w:eastAsia="Calibri" w:hAnsi="Calibri"/>
          <w:b/>
          <w:bCs/>
          <w:color w:val="1F4E79"/>
          <w:sz w:val="26"/>
          <w:szCs w:val="26"/>
        </w:rPr>
        <w:t xml:space="preserve">10.7 Module 6 — Execution Engine and History</w:t>
      </w:r>
    </w:p>
    <w:p>
      <w:pPr>
        <w:spacing w:after="120" w:before="0" w:line="288"/>
        <w:jc w:val="both"/>
      </w:pPr>
      <w:r>
        <w:rPr>
          <w:rFonts w:ascii="Times New Roman" w:cs="Times New Roman" w:eastAsia="Times New Roman" w:hAnsi="Times New Roman"/>
          <w:sz w:val="21"/>
          <w:szCs w:val="21"/>
        </w:rPr>
        <w:t xml:space="preserve">Implement registered action handlers, ownership checks, approval checks, run identifiers, persisted state transitions, safe error summaries, timeouts, and bounded retry and idempotency rules. Add execution history and detail screens.</w:t>
      </w:r>
    </w:p>
    <w:p>
      <w:pPr>
        <w:spacing w:after="120" w:before="0" w:line="288"/>
        <w:jc w:val="both"/>
      </w:pPr>
      <w:r>
        <w:rPr>
          <w:rFonts w:ascii="Times New Roman" w:cs="Times New Roman" w:eastAsia="Times New Roman" w:hAnsi="Times New Roman"/>
          <w:b/>
          <w:bCs/>
          <w:sz w:val="21"/>
          <w:szCs w:val="21"/>
        </w:rPr>
        <w:t xml:space="preserve">Completion gate:</w:t>
      </w:r>
      <w:r>
        <w:rPr>
          <w:rFonts w:ascii="Times New Roman" w:cs="Times New Roman" w:eastAsia="Times New Roman" w:hAnsi="Times New Roman"/>
          <w:sz w:val="21"/>
          <w:szCs w:val="21"/>
        </w:rPr>
        <w:t xml:space="preserve"> safe workflow execution is reproducible; invalid transitions are rejected; duplicate-run protections are tested where supported; results are sanitized; and retry behavior is documented. Scheduling is not claimed until a durable worker is configured and tested. Stop for approval.</w:t>
      </w:r>
    </w:p>
    <w:p>
      <w:pPr>
        <w:pStyle w:val="Heading2"/>
        <w:keepNext/>
        <w:spacing w:after="120" w:before="200"/>
      </w:pPr>
      <w:r>
        <w:rPr>
          <w:rFonts w:ascii="Calibri" w:cs="Calibri" w:eastAsia="Calibri" w:hAnsi="Calibri"/>
          <w:b/>
          <w:bCs/>
          <w:color w:val="1F4E79"/>
          <w:sz w:val="26"/>
          <w:szCs w:val="26"/>
        </w:rPr>
        <w:t xml:space="preserve">10.8 Module 7 — Security Center</w:t>
      </w:r>
    </w:p>
    <w:p>
      <w:pPr>
        <w:spacing w:after="120" w:before="0" w:line="288"/>
        <w:jc w:val="both"/>
      </w:pPr>
      <w:r>
        <w:rPr>
          <w:rFonts w:ascii="Times New Roman" w:cs="Times New Roman" w:eastAsia="Times New Roman" w:hAnsi="Times New Roman"/>
          <w:sz w:val="21"/>
          <w:szCs w:val="21"/>
        </w:rPr>
        <w:t xml:space="preserve">Display connected accounts, permission summaries, approval history, audit events and configuration checks. Provide clear verified, warning and unverified states, implement safe disconnect or revocation controls, and prevent unauthorized access to audit data.</w:t>
      </w:r>
    </w:p>
    <w:p>
      <w:pPr>
        <w:spacing w:after="120" w:before="0" w:line="288"/>
        <w:jc w:val="both"/>
      </w:pPr>
      <w:r>
        <w:rPr>
          <w:rFonts w:ascii="Times New Roman" w:cs="Times New Roman" w:eastAsia="Times New Roman" w:hAnsi="Times New Roman"/>
          <w:b/>
          <w:bCs/>
          <w:sz w:val="21"/>
          <w:szCs w:val="21"/>
        </w:rPr>
        <w:t xml:space="preserve">Completion gate:</w:t>
      </w:r>
      <w:r>
        <w:rPr>
          <w:rFonts w:ascii="Times New Roman" w:cs="Times New Roman" w:eastAsia="Times New Roman" w:hAnsi="Times New Roman"/>
          <w:sz w:val="21"/>
          <w:szCs w:val="21"/>
        </w:rPr>
        <w:t xml:space="preserve"> each indicator maps to a real check or is labeled unverified; audit metadata is redacted; access controls are tested; sensitive actions use confirmation; and security findings are documented. Stop for approval.</w:t>
      </w:r>
    </w:p>
    <w:p>
      <w:pPr>
        <w:pStyle w:val="Heading2"/>
        <w:keepNext/>
        <w:spacing w:after="120" w:before="200"/>
      </w:pPr>
      <w:r>
        <w:rPr>
          <w:rFonts w:ascii="Calibri" w:cs="Calibri" w:eastAsia="Calibri" w:hAnsi="Calibri"/>
          <w:b/>
          <w:bCs/>
          <w:color w:val="1F4E79"/>
          <w:sz w:val="26"/>
          <w:szCs w:val="26"/>
        </w:rPr>
        <w:t xml:space="preserve">10.9 Module 8 — End-to-End and Production Readiness</w:t>
      </w:r>
    </w:p>
    <w:p>
      <w:pPr>
        <w:spacing w:after="120" w:before="0" w:line="288"/>
        <w:jc w:val="both"/>
      </w:pPr>
      <w:r>
        <w:rPr>
          <w:rFonts w:ascii="Times New Roman" w:cs="Times New Roman" w:eastAsia="Times New Roman" w:hAnsi="Times New Roman"/>
          <w:sz w:val="21"/>
          <w:szCs w:val="21"/>
        </w:rPr>
        <w:t xml:space="preserve">Run the complete test suite, lint, type-check, production build, RLS tests, browser tests, secret scan and dependency review. Review environment configuration, logging, retention, error handling, deployment settings and rollback procedures.</w:t>
      </w:r>
    </w:p>
    <w:p>
      <w:pPr>
        <w:spacing w:after="120" w:before="0" w:line="288"/>
        <w:jc w:val="both"/>
      </w:pPr>
      <w:r>
        <w:rPr>
          <w:rFonts w:ascii="Times New Roman" w:cs="Times New Roman" w:eastAsia="Times New Roman" w:hAnsi="Times New Roman"/>
          <w:b/>
          <w:bCs/>
          <w:sz w:val="21"/>
          <w:szCs w:val="21"/>
        </w:rPr>
        <w:t xml:space="preserve">Completion gate:</w:t>
      </w:r>
      <w:r>
        <w:rPr>
          <w:rFonts w:ascii="Times New Roman" w:cs="Times New Roman" w:eastAsia="Times New Roman" w:hAnsi="Times New Roman"/>
          <w:sz w:val="21"/>
          <w:szCs w:val="21"/>
        </w:rPr>
        <w:t xml:space="preserve"> actual test results are recorded; critical issues are resolved or explicitly blocked; deployment prerequisites are documented; backup and recovery expectations are clear; and no feature is represented as complete without evidence. Final approval is required before deployment.</w:t>
      </w:r>
    </w:p>
    <w:p>
      <w:pPr>
        <w:pStyle w:val="Heading1"/>
        <w:keepNext/>
        <w:pageBreakBefore/>
        <w:spacing w:after="200"/>
      </w:pPr>
      <w:r>
        <w:rPr>
          <w:rFonts w:ascii="Calibri" w:cs="Calibri" w:eastAsia="Calibri" w:hAnsi="Calibri"/>
          <w:b/>
          <w:bCs/>
          <w:color w:val="1F4E79"/>
          <w:sz w:val="32"/>
          <w:szCs w:val="32"/>
        </w:rPr>
        <w:t xml:space="preserve">CHAPTER 11: USER INTERFACE AND ACCESSIBILITY</w:t>
      </w:r>
    </w:p>
    <w:p>
      <w:pPr>
        <w:pStyle w:val="Heading2"/>
        <w:keepNext/>
        <w:spacing w:after="120" w:before="200"/>
      </w:pPr>
      <w:r>
        <w:rPr>
          <w:rFonts w:ascii="Calibri" w:cs="Calibri" w:eastAsia="Calibri" w:hAnsi="Calibri"/>
          <w:b/>
          <w:bCs/>
          <w:color w:val="1F4E79"/>
          <w:sz w:val="26"/>
          <w:szCs w:val="26"/>
        </w:rPr>
        <w:t xml:space="preserve">11.1 Navigation and Visual System</w:t>
      </w:r>
    </w:p>
    <w:p>
      <w:pPr>
        <w:spacing w:after="120" w:before="0" w:line="288"/>
        <w:jc w:val="both"/>
      </w:pPr>
      <w:r>
        <w:rPr>
          <w:rFonts w:ascii="Times New Roman" w:cs="Times New Roman" w:eastAsia="Times New Roman" w:hAnsi="Times New Roman"/>
          <w:sz w:val="21"/>
          <w:szCs w:val="21"/>
        </w:rPr>
        <w:t xml:space="preserve">The application shell uses a sidebar for the main areas listed below. The top bar can contain search, notifications and the account menu where those features are implemented. A restrained neutral palette, readable typography, consistent spacing, clear hierarchy and reusable cards help keep complex workflows understandable. Status colors are always paired with text labels and icons, and decorative effects that reduce contrast or distract from task status are avoided.</w:t>
      </w:r>
    </w:p>
    <w:p>
      <w:pPr>
        <w:keepNext/>
        <w:spacing w:after="80" w:before="120"/>
        <w:jc w:val="center"/>
      </w:pPr>
      <w:r>
        <w:rPr>
          <w:rFonts w:ascii="Times New Roman" w:cs="Times New Roman" w:eastAsia="Times New Roman" w:hAnsi="Times New Roman"/>
          <w:b/>
          <w:bCs/>
          <w:color w:val="1F4E79"/>
          <w:sz w:val="20"/>
          <w:szCs w:val="20"/>
        </w:rPr>
        <w:t xml:space="preserve">Table 11.1: Sidebar Navigation</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cantSplit/>
          <w:tblHeader/>
        </w:trPr>
        <w:tc>
          <w:tcPr>
            <w:tcW w:type="dxa" w:w="2400"/>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Item</w:t>
            </w:r>
          </w:p>
        </w:tc>
        <w:tc>
          <w:tcPr>
            <w:tcW w:type="dxa" w:w="6906"/>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Purpose</w:t>
            </w:r>
          </w:p>
        </w:tc>
      </w:tr>
      <w:tr>
        <w:trPr>
          <w:cantSplit/>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Overview</w:t>
            </w:r>
          </w:p>
        </w:tc>
        <w:tc>
          <w:tcPr>
            <w:tcW w:type="dxa" w:w="6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Dashboard summary of workflows, runs and connections</w:t>
            </w:r>
          </w:p>
        </w:tc>
      </w:tr>
      <w:tr>
        <w:trPr>
          <w:cantSplit/>
        </w:trPr>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Workflows</w:t>
            </w:r>
          </w:p>
        </w:tc>
        <w:tc>
          <w:tcPr>
            <w:tcW w:type="dxa" w:w="6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Saved workflow drafts and active workflows</w:t>
            </w:r>
          </w:p>
        </w:tc>
      </w:tr>
      <w:tr>
        <w:trPr>
          <w:cantSplit/>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AI Builder</w:t>
            </w:r>
          </w:p>
        </w:tc>
        <w:tc>
          <w:tcPr>
            <w:tcW w:type="dxa" w:w="6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Natural-language workflow creation and review</w:t>
            </w:r>
          </w:p>
        </w:tc>
      </w:tr>
      <w:tr>
        <w:trPr>
          <w:cantSplit/>
        </w:trPr>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Integrations</w:t>
            </w:r>
          </w:p>
        </w:tc>
        <w:tc>
          <w:tcPr>
            <w:tcW w:type="dxa" w:w="6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Gmail, Calendar and Sheets connection management</w:t>
            </w:r>
          </w:p>
        </w:tc>
      </w:tr>
      <w:tr>
        <w:trPr>
          <w:cantSplit/>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Run History</w:t>
            </w:r>
          </w:p>
        </w:tc>
        <w:tc>
          <w:tcPr>
            <w:tcW w:type="dxa" w:w="6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Execution list and run details</w:t>
            </w:r>
          </w:p>
        </w:tc>
      </w:tr>
      <w:tr>
        <w:trPr>
          <w:cantSplit/>
        </w:trPr>
        <w:tc>
          <w:tcPr>
            <w:tcW w:type="dxa" w:w="2400"/>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sz w:val="19"/>
                <w:szCs w:val="19"/>
              </w:rPr>
              <w:t xml:space="preserve">Security Center</w:t>
            </w:r>
          </w:p>
        </w:tc>
        <w:tc>
          <w:tcPr>
            <w:tcW w:type="dxa" w:w="6906"/>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Permissions, approvals, audit events and checks</w:t>
            </w:r>
          </w:p>
        </w:tc>
      </w:tr>
      <w:tr>
        <w:trPr>
          <w:cantSplit/>
        </w:trPr>
        <w:tc>
          <w:tcPr>
            <w:tcW w:type="dxa" w:w="2400"/>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bCs/>
                <w:sz w:val="19"/>
                <w:szCs w:val="19"/>
              </w:rPr>
              <w:t xml:space="preserve">Settings</w:t>
            </w:r>
          </w:p>
        </w:tc>
        <w:tc>
          <w:tcPr>
            <w:tcW w:type="dxa" w:w="6906"/>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Account and application settings</w:t>
            </w:r>
          </w:p>
        </w:tc>
      </w:tr>
    </w:tbl>
    <w:p>
      <w:pPr>
        <w:spacing w:after="140"/>
      </w:pPr>
    </w:p>
    <w:p>
      <w:pPr>
        <w:pStyle w:val="Heading2"/>
        <w:keepNext/>
        <w:spacing w:after="120" w:before="200"/>
      </w:pPr>
      <w:r>
        <w:rPr>
          <w:rFonts w:ascii="Calibri" w:cs="Calibri" w:eastAsia="Calibri" w:hAnsi="Calibri"/>
          <w:b/>
          <w:bCs/>
          <w:color w:val="1F4E79"/>
          <w:sz w:val="26"/>
          <w:szCs w:val="26"/>
        </w:rPr>
        <w:t xml:space="preserve">11.2 Dashboard Screen Design</w:t>
      </w:r>
    </w:p>
    <w:p>
      <w:pPr>
        <w:spacing w:after="120" w:before="0" w:line="288"/>
        <w:jc w:val="both"/>
      </w:pPr>
      <w:r>
        <w:rPr>
          <w:rFonts w:ascii="Times New Roman" w:cs="Times New Roman" w:eastAsia="Times New Roman" w:hAnsi="Times New Roman"/>
          <w:sz w:val="21"/>
          <w:szCs w:val="21"/>
        </w:rPr>
        <w:t xml:space="preserve">The dashboard answers four questions: what workflows exist, what ran recently, what failed, and which services are connected. Summary cards are supported by recent activity and a list of recent workflows, and a create-workflow action is visible without dominating the page. An empty dashboard guides a new user to connect a service or create a first workflow. Errors state whether data could not be loaded and provide a retry path where appropriate, and sample metrics are explicitly labeled in prototypes.</w:t>
      </w:r>
    </w:p>
    <w:p>
      <w:pPr>
        <w:pStyle w:val="Heading2"/>
        <w:keepNext/>
        <w:spacing w:after="120" w:before="200"/>
      </w:pPr>
      <w:r>
        <w:rPr>
          <w:rFonts w:ascii="Calibri" w:cs="Calibri" w:eastAsia="Calibri" w:hAnsi="Calibri"/>
          <w:b/>
          <w:bCs/>
          <w:color w:val="1F4E79"/>
          <w:sz w:val="26"/>
          <w:szCs w:val="26"/>
        </w:rPr>
        <w:t xml:space="preserve">11.3 Builder Screen Design</w:t>
      </w:r>
    </w:p>
    <w:p>
      <w:pPr>
        <w:spacing w:after="120" w:before="0" w:line="288"/>
        <w:jc w:val="both"/>
      </w:pPr>
      <w:r>
        <w:rPr>
          <w:rFonts w:ascii="Times New Roman" w:cs="Times New Roman" w:eastAsia="Times New Roman" w:hAnsi="Times New Roman"/>
          <w:sz w:val="21"/>
          <w:szCs w:val="21"/>
        </w:rPr>
        <w:t xml:space="preserve">The builder pairs a natural-language input with a readable workflow preview. Steps are shown as trigger, condition and action blocks with labels, configuration details, integration requirements and validation messages. The user can edit, save, cancel and approve a proposal, and missing permissions or unsupported actions are visible before execution. AI-generated text never implies that an action has already run.</w:t>
      </w:r>
    </w:p>
    <w:p>
      <w:pPr>
        <w:pStyle w:val="Heading2"/>
        <w:keepNext/>
        <w:spacing w:after="120" w:before="200"/>
      </w:pPr>
      <w:r>
        <w:rPr>
          <w:rFonts w:ascii="Calibri" w:cs="Calibri" w:eastAsia="Calibri" w:hAnsi="Calibri"/>
          <w:b/>
          <w:bCs/>
          <w:color w:val="1F4E79"/>
          <w:sz w:val="26"/>
          <w:szCs w:val="26"/>
        </w:rPr>
        <w:t xml:space="preserve">11.4 Accessibility and Responsive Behavior</w:t>
      </w:r>
    </w:p>
    <w:p>
      <w:pPr>
        <w:spacing w:after="120" w:before="0" w:line="288"/>
        <w:jc w:val="both"/>
      </w:pPr>
      <w:r>
        <w:rPr>
          <w:rFonts w:ascii="Times New Roman" w:cs="Times New Roman" w:eastAsia="Times New Roman" w:hAnsi="Times New Roman"/>
          <w:sz w:val="21"/>
          <w:szCs w:val="21"/>
        </w:rPr>
        <w:t xml:space="preserve">The interface provides semantic headings, associated form labels, keyboard-accessible controls, visible focus indicators, a logical tab order and readable contrast. Color alone is never used to communicate failed, successful or pending states, and reduced-motion settings are respected.</w:t>
      </w:r>
    </w:p>
    <w:p>
      <w:pPr>
        <w:spacing w:after="120" w:before="0" w:line="288"/>
        <w:jc w:val="both"/>
      </w:pPr>
      <w:r>
        <w:rPr>
          <w:rFonts w:ascii="Times New Roman" w:cs="Times New Roman" w:eastAsia="Times New Roman" w:hAnsi="Times New Roman"/>
          <w:sz w:val="21"/>
          <w:szCs w:val="21"/>
        </w:rPr>
        <w:t xml:space="preserve">On smaller screens, navigation may become a drawer, metric cards may stack, and tables may become horizontally manageable lists or cards. The design is tested for overflow, clipped dialogs and touch targets. Accessibility is part of the acceptance criteria rather than a final visual polish task.</w:t>
      </w:r>
    </w:p>
    <w:p>
      <w:pPr>
        <w:pStyle w:val="Heading1"/>
        <w:keepNext/>
        <w:pageBreakBefore/>
        <w:spacing w:after="200"/>
      </w:pPr>
      <w:r>
        <w:rPr>
          <w:rFonts w:ascii="Calibri" w:cs="Calibri" w:eastAsia="Calibri" w:hAnsi="Calibri"/>
          <w:b/>
          <w:bCs/>
          <w:color w:val="1F4E79"/>
          <w:sz w:val="32"/>
          <w:szCs w:val="32"/>
        </w:rPr>
        <w:t xml:space="preserve">CHAPTER 12: CONCLUSION, LIMITATIONS AND FUTURE SCOPE</w:t>
      </w:r>
    </w:p>
    <w:p>
      <w:pPr>
        <w:pStyle w:val="Heading2"/>
        <w:keepNext/>
        <w:spacing w:after="120" w:before="200"/>
      </w:pPr>
      <w:r>
        <w:rPr>
          <w:rFonts w:ascii="Calibri" w:cs="Calibri" w:eastAsia="Calibri" w:hAnsi="Calibri"/>
          <w:b/>
          <w:bCs/>
          <w:color w:val="1F4E79"/>
          <w:sz w:val="26"/>
          <w:szCs w:val="26"/>
        </w:rPr>
        <w:t xml:space="preserve">12.1 Conclusion</w:t>
      </w:r>
    </w:p>
    <w:p>
      <w:pPr>
        <w:spacing w:after="120" w:before="0" w:line="288"/>
        <w:jc w:val="both"/>
      </w:pPr>
      <w:r>
        <w:rPr>
          <w:rFonts w:ascii="Times New Roman" w:cs="Times New Roman" w:eastAsia="Times New Roman" w:hAnsi="Times New Roman"/>
          <w:sz w:val="21"/>
          <w:szCs w:val="21"/>
        </w:rPr>
        <w:t xml:space="preserve">FlowPilot is proposed as a secure AI-assisted workflow dashboard that combines natural-language workflow drafting, controlled action execution, Google integrations, execution history and security visibility. The architecture emphasizes schema validation, user ownership, least privilege, explicit approval and traceable results.</w:t>
      </w:r>
    </w:p>
    <w:p>
      <w:pPr>
        <w:spacing w:after="120" w:before="0" w:line="288"/>
        <w:jc w:val="both"/>
      </w:pPr>
      <w:r>
        <w:rPr>
          <w:rFonts w:ascii="Times New Roman" w:cs="Times New Roman" w:eastAsia="Times New Roman" w:hAnsi="Times New Roman"/>
          <w:sz w:val="21"/>
          <w:szCs w:val="21"/>
        </w:rPr>
        <w:t xml:space="preserve">The report is a design and development reference. The final academic submission should be updated with actual screenshots, tested diagrams, the implemented database schema, genuine test results and institution-specific details. No implementation status should be claimed without supporting evidence.</w:t>
      </w:r>
    </w:p>
    <w:p>
      <w:pPr>
        <w:pStyle w:val="Heading2"/>
        <w:keepNext/>
        <w:spacing w:after="120" w:before="200"/>
      </w:pPr>
      <w:r>
        <w:rPr>
          <w:rFonts w:ascii="Calibri" w:cs="Calibri" w:eastAsia="Calibri" w:hAnsi="Calibri"/>
          <w:b/>
          <w:bCs/>
          <w:color w:val="1F4E79"/>
          <w:sz w:val="26"/>
          <w:szCs w:val="26"/>
        </w:rPr>
        <w:t xml:space="preserve">12.2 Benefits</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Reviewable AI output:</w:t>
      </w:r>
      <w:r>
        <w:rPr>
          <w:rFonts w:ascii="Times New Roman" w:cs="Times New Roman" w:eastAsia="Times New Roman" w:hAnsi="Times New Roman"/>
          <w:sz w:val="21"/>
          <w:szCs w:val="21"/>
        </w:rPr>
        <w:t xml:space="preserve"> proposals are validated and shown to the user before anything runs.</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Ownership isolation:</w:t>
      </w:r>
      <w:r>
        <w:rPr>
          <w:rFonts w:ascii="Times New Roman" w:cs="Times New Roman" w:eastAsia="Times New Roman" w:hAnsi="Times New Roman"/>
          <w:sz w:val="21"/>
          <w:szCs w:val="21"/>
        </w:rPr>
        <w:t xml:space="preserve"> server-side checks and RLS keep each user’s data separate.</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Least-privilege integrations:</w:t>
      </w:r>
      <w:r>
        <w:rPr>
          <w:rFonts w:ascii="Times New Roman" w:cs="Times New Roman" w:eastAsia="Times New Roman" w:hAnsi="Times New Roman"/>
          <w:sz w:val="21"/>
          <w:szCs w:val="21"/>
        </w:rPr>
        <w:t xml:space="preserve"> only the OAuth scopes a feature needs are requested.</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Traceable runs:</w:t>
      </w:r>
      <w:r>
        <w:rPr>
          <w:rFonts w:ascii="Times New Roman" w:cs="Times New Roman" w:eastAsia="Times New Roman" w:hAnsi="Times New Roman"/>
          <w:sz w:val="21"/>
          <w:szCs w:val="21"/>
        </w:rPr>
        <w:t xml:space="preserve"> run state and sanitized summaries explain what happened.</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Security visibility:</w:t>
      </w:r>
      <w:r>
        <w:rPr>
          <w:rFonts w:ascii="Times New Roman" w:cs="Times New Roman" w:eastAsia="Times New Roman" w:hAnsi="Times New Roman"/>
          <w:sz w:val="21"/>
          <w:szCs w:val="21"/>
        </w:rPr>
        <w:t xml:space="preserve"> the Security Center reports verified, warning and unverified states from real checks.</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Modular development:</w:t>
      </w:r>
      <w:r>
        <w:rPr>
          <w:rFonts w:ascii="Times New Roman" w:cs="Times New Roman" w:eastAsia="Times New Roman" w:hAnsi="Times New Roman"/>
          <w:sz w:val="21"/>
          <w:szCs w:val="21"/>
        </w:rPr>
        <w:t xml:space="preserve"> separated layers and gated modules make testing and review easier.</w:t>
      </w:r>
    </w:p>
    <w:p>
      <w:pPr>
        <w:spacing w:after="60"/>
      </w:pPr>
    </w:p>
    <w:p>
      <w:pPr>
        <w:pStyle w:val="Heading2"/>
        <w:keepNext/>
        <w:spacing w:after="120" w:before="200"/>
      </w:pPr>
      <w:r>
        <w:rPr>
          <w:rFonts w:ascii="Calibri" w:cs="Calibri" w:eastAsia="Calibri" w:hAnsi="Calibri"/>
          <w:b/>
          <w:bCs/>
          <w:color w:val="1F4E79"/>
          <w:sz w:val="26"/>
          <w:szCs w:val="26"/>
        </w:rPr>
        <w:t xml:space="preserve">12.3 Limitations and Scope Boundaries</w:t>
      </w:r>
    </w:p>
    <w:p>
      <w:pPr>
        <w:spacing w:after="120" w:before="0" w:line="288"/>
        <w:jc w:val="both"/>
      </w:pPr>
      <w:r>
        <w:rPr>
          <w:rFonts w:ascii="Times New Roman" w:cs="Times New Roman" w:eastAsia="Times New Roman" w:hAnsi="Times New Roman"/>
          <w:sz w:val="21"/>
          <w:szCs w:val="21"/>
        </w:rPr>
        <w:t xml:space="preserve">LLM-generated proposals can be incomplete or incorrect and need validation and user review. Google OAuth consent and scope requirements depend on the exact APIs and features requested, and external API quotas and outages can affect execution. Durable schedules and long-running tasks require infrastructure beyond a basic request handler. A prototype interface does not prove that an integration is connected, and automation success cannot be guaranteed; it should be measured using recorded test evidence.</w:t>
      </w:r>
    </w:p>
    <w:p>
      <w:pPr>
        <w:keepNext/>
        <w:spacing w:after="80" w:before="120"/>
        <w:jc w:val="center"/>
      </w:pPr>
      <w:r>
        <w:rPr>
          <w:rFonts w:ascii="Times New Roman" w:cs="Times New Roman" w:eastAsia="Times New Roman" w:hAnsi="Times New Roman"/>
          <w:b/>
          <w:bCs/>
          <w:color w:val="1F4E79"/>
          <w:sz w:val="20"/>
          <w:szCs w:val="20"/>
        </w:rPr>
        <w:t xml:space="preserve">Table 12.1: Included and Not Included</w:t>
      </w:r>
    </w:p>
    <w:tbl>
      <w:tblPr>
        <w:tblW w:type="dxa" w:w="9306"/>
        <w:jc w:val="center"/>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blHeader/>
        </w:trPr>
        <w:tc>
          <w:tcPr>
            <w:tcW w:type="dxa" w:w="4653"/>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Included in the first release (design)</w:t>
            </w:r>
          </w:p>
        </w:tc>
        <w:tc>
          <w:tcPr>
            <w:tcW w:type="dxa" w:w="4653"/>
            <w:tcBorders>
              <w:top w:val="single" w:color="8EA9C1" w:sz="4"/>
              <w:left w:val="single" w:color="8EA9C1" w:sz="4"/>
              <w:bottom w:val="single" w:color="8EA9C1" w:sz="4"/>
              <w:right w:val="single" w:color="8EA9C1" w:sz="4"/>
            </w:tcBorders>
            <w:shd w:fill="1F4E79"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bCs/>
                <w:color w:val="FFFFFF"/>
                <w:sz w:val="19"/>
                <w:szCs w:val="19"/>
              </w:rPr>
              <w:t xml:space="preserve">Not claimed unless implemented and verified</w:t>
            </w:r>
          </w:p>
        </w:tc>
      </w:tr>
      <w:tr>
        <w:trPr>
          <w:cantSplit/>
        </w:trPr>
        <w:tc>
          <w:tcPr>
            <w:tcW w:type="dxa" w:w="4653"/>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Natural-language workflow drafting</w:t>
            </w:r>
          </w:p>
        </w:tc>
        <w:tc>
          <w:tcPr>
            <w:tcW w:type="dxa" w:w="4653"/>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Scheduled and long-running workflows</w:t>
            </w:r>
          </w:p>
        </w:tc>
      </w:tr>
      <w:tr>
        <w:trPr>
          <w:cantSplit/>
        </w:trPr>
        <w:tc>
          <w:tcPr>
            <w:tcW w:type="dxa" w:w="465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Schema-validated, reviewable proposals</w:t>
            </w:r>
          </w:p>
        </w:tc>
        <w:tc>
          <w:tcPr>
            <w:tcW w:type="dxa" w:w="465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Unattended email sending</w:t>
            </w:r>
          </w:p>
        </w:tc>
      </w:tr>
      <w:tr>
        <w:trPr>
          <w:cantSplit/>
        </w:trPr>
        <w:tc>
          <w:tcPr>
            <w:tcW w:type="dxa" w:w="4653"/>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Gmail, Calendar and Sheets integrations (low-risk actions first)</w:t>
            </w:r>
          </w:p>
        </w:tc>
        <w:tc>
          <w:tcPr>
            <w:tcW w:type="dxa" w:w="4653"/>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Team workspaces and role-based access controls</w:t>
            </w:r>
          </w:p>
        </w:tc>
      </w:tr>
      <w:tr>
        <w:trPr>
          <w:cantSplit/>
        </w:trPr>
        <w:tc>
          <w:tcPr>
            <w:tcW w:type="dxa" w:w="465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Execution history with sanitized summaries</w:t>
            </w:r>
          </w:p>
        </w:tc>
        <w:tc>
          <w:tcPr>
            <w:tcW w:type="dxa" w:w="465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Execution of arbitrary generated code</w:t>
            </w:r>
          </w:p>
        </w:tc>
      </w:tr>
      <w:tr>
        <w:trPr>
          <w:cantSplit/>
        </w:trPr>
        <w:tc>
          <w:tcPr>
            <w:tcW w:type="dxa" w:w="4653"/>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Security Center backed by real checks</w:t>
            </w:r>
          </w:p>
        </w:tc>
        <w:tc>
          <w:tcPr>
            <w:tcW w:type="dxa" w:w="4653"/>
            <w:tcBorders>
              <w:top w:val="single" w:color="8EA9C1" w:sz="4"/>
              <w:left w:val="single" w:color="8EA9C1" w:sz="4"/>
              <w:bottom w:val="single" w:color="8EA9C1" w:sz="4"/>
              <w:right w:val="single" w:color="8EA9C1" w:sz="4"/>
            </w:tcBorders>
            <w:tcMar>
              <w:top w:type="dxa" w:w="50"/>
              <w:left w:type="dxa" w:w="90"/>
              <w:bottom w:type="dxa" w:w="50"/>
              <w:right w:type="dxa" w:w="90"/>
            </w:tcMar>
            <w:vAlign w:val="center"/>
          </w:tcPr>
          <w:p>
            <w:pPr>
              <w:keepNext/>
              <w:spacing w:after="0" w:line="259"/>
              <w:jc w:val="left"/>
            </w:pPr>
            <w:r>
              <w:rPr>
                <w:rFonts w:ascii="Times New Roman" w:cs="Times New Roman" w:eastAsia="Times New Roman" w:hAnsi="Times New Roman"/>
                <w:b w:val="false"/>
                <w:bCs w:val="false"/>
                <w:sz w:val="19"/>
                <w:szCs w:val="19"/>
              </w:rPr>
              <w:t xml:space="preserve">Administrative or team-level security views</w:t>
            </w:r>
          </w:p>
        </w:tc>
      </w:tr>
      <w:tr>
        <w:trPr>
          <w:cantSplit/>
        </w:trPr>
        <w:tc>
          <w:tcPr>
            <w:tcW w:type="dxa" w:w="465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Ownership checks and Row Level Security</w:t>
            </w:r>
          </w:p>
        </w:tc>
        <w:tc>
          <w:tcPr>
            <w:tcW w:type="dxa" w:w="4653"/>
            <w:tcBorders>
              <w:top w:val="single" w:color="8EA9C1" w:sz="4"/>
              <w:left w:val="single" w:color="8EA9C1" w:sz="4"/>
              <w:bottom w:val="single" w:color="8EA9C1" w:sz="4"/>
              <w:right w:val="single" w:color="8EA9C1" w:sz="4"/>
            </w:tcBorders>
            <w:shd w:fill="F2F6FA" w:color="auto" w:val="clear"/>
            <w:tcMar>
              <w:top w:type="dxa" w:w="50"/>
              <w:left w:type="dxa" w:w="90"/>
              <w:bottom w:type="dxa" w:w="50"/>
              <w:right w:type="dxa" w:w="90"/>
            </w:tcMar>
            <w:vAlign w:val="center"/>
          </w:tcPr>
          <w:p>
            <w:pPr>
              <w:keepNext w:val="false"/>
              <w:spacing w:after="0" w:line="259"/>
              <w:jc w:val="left"/>
            </w:pPr>
            <w:r>
              <w:rPr>
                <w:rFonts w:ascii="Times New Roman" w:cs="Times New Roman" w:eastAsia="Times New Roman" w:hAnsi="Times New Roman"/>
                <w:b w:val="false"/>
                <w:bCs w:val="false"/>
                <w:sz w:val="19"/>
                <w:szCs w:val="19"/>
              </w:rPr>
              <w:t xml:space="preserve">Guaranteed automation success</w:t>
            </w:r>
          </w:p>
        </w:tc>
      </w:tr>
    </w:tbl>
    <w:p>
      <w:pPr>
        <w:spacing w:after="140"/>
      </w:pPr>
    </w:p>
    <w:p>
      <w:pPr>
        <w:pStyle w:val="Heading2"/>
        <w:keepNext/>
        <w:spacing w:after="120" w:before="200"/>
      </w:pPr>
      <w:r>
        <w:rPr>
          <w:rFonts w:ascii="Calibri" w:cs="Calibri" w:eastAsia="Calibri" w:hAnsi="Calibri"/>
          <w:b/>
          <w:bCs/>
          <w:color w:val="1F4E79"/>
          <w:sz w:val="26"/>
          <w:szCs w:val="26"/>
        </w:rPr>
        <w:t xml:space="preserve">12.4 Operations and Deployment</w:t>
      </w:r>
    </w:p>
    <w:p>
      <w:pPr>
        <w:spacing w:after="120" w:before="0" w:line="288"/>
        <w:jc w:val="both"/>
      </w:pPr>
      <w:r>
        <w:rPr>
          <w:rFonts w:ascii="Times New Roman" w:cs="Times New Roman" w:eastAsia="Times New Roman" w:hAnsi="Times New Roman"/>
          <w:sz w:val="21"/>
          <w:szCs w:val="21"/>
        </w:rPr>
        <w:t xml:space="preserve">Operational monitoring tracks application errors, API failures, run completion rates, latency and resource use while minimizing sensitive data; logs use correlation or run IDs rather than raw credentials or complete private payloads. Practical limits are set for workflow size, action count, request rate, execution time and concurrent runs, and alerts are based on actual signals rather than invented health indicators.</w:t>
      </w:r>
    </w:p>
    <w:p>
      <w:pPr>
        <w:spacing w:after="120" w:before="0" w:line="288"/>
        <w:jc w:val="both"/>
      </w:pPr>
      <w:r>
        <w:rPr>
          <w:rFonts w:ascii="Times New Roman" w:cs="Times New Roman" w:eastAsia="Times New Roman" w:hAnsi="Times New Roman"/>
          <w:sz w:val="21"/>
          <w:szCs w:val="21"/>
        </w:rPr>
        <w:t xml:space="preserve">Development, testing and production configuration are kept separate. Required environment variable names are documented without values, platform secret settings hold credentials, and client bundles are checked for server-only secrets. Deployment includes database migration review, build verification, redirect URI configuration, provider API enablement, an initial smoke test and a rollback approach covering both application code and schema migrations.</w:t>
      </w:r>
    </w:p>
    <w:p>
      <w:pPr>
        <w:pStyle w:val="Heading2"/>
        <w:keepNext/>
        <w:spacing w:after="120" w:before="200"/>
      </w:pPr>
      <w:r>
        <w:rPr>
          <w:rFonts w:ascii="Calibri" w:cs="Calibri" w:eastAsia="Calibri" w:hAnsi="Calibri"/>
          <w:b/>
          <w:bCs/>
          <w:color w:val="1F4E79"/>
          <w:sz w:val="26"/>
          <w:szCs w:val="26"/>
        </w:rPr>
        <w:t xml:space="preserve">12.5 Future Scope</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Durable scheduled workflows:</w:t>
      </w:r>
      <w:r>
        <w:rPr>
          <w:rFonts w:ascii="Times New Roman" w:cs="Times New Roman" w:eastAsia="Times New Roman" w:hAnsi="Times New Roman"/>
          <w:sz w:val="21"/>
          <w:szCs w:val="21"/>
        </w:rPr>
        <w:t xml:space="preserve"> run on a persistent worker or managed workflow service.</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More providers and templates:</w:t>
      </w:r>
      <w:r>
        <w:rPr>
          <w:rFonts w:ascii="Times New Roman" w:cs="Times New Roman" w:eastAsia="Times New Roman" w:hAnsi="Times New Roman"/>
          <w:sz w:val="21"/>
          <w:szCs w:val="21"/>
        </w:rPr>
        <w:t xml:space="preserve"> additional adapters and reusable workflow templates.</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Workflow version history:</w:t>
      </w:r>
      <w:r>
        <w:rPr>
          <w:rFonts w:ascii="Times New Roman" w:cs="Times New Roman" w:eastAsia="Times New Roman" w:hAnsi="Times New Roman"/>
          <w:sz w:val="21"/>
          <w:szCs w:val="21"/>
        </w:rPr>
        <w:t xml:space="preserve"> review and restore earlier versions.</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Improved observability:</w:t>
      </w:r>
      <w:r>
        <w:rPr>
          <w:rFonts w:ascii="Times New Roman" w:cs="Times New Roman" w:eastAsia="Times New Roman" w:hAnsi="Times New Roman"/>
          <w:sz w:val="21"/>
          <w:szCs w:val="21"/>
        </w:rPr>
        <w:t xml:space="preserve"> richer monitoring without collecting sensitive content.</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Team workspaces and roles:</w:t>
      </w:r>
      <w:r>
        <w:rPr>
          <w:rFonts w:ascii="Times New Roman" w:cs="Times New Roman" w:eastAsia="Times New Roman" w:hAnsi="Times New Roman"/>
          <w:sz w:val="21"/>
          <w:szCs w:val="21"/>
        </w:rPr>
        <w:t xml:space="preserve"> role-based access controls and team-level views.</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Data retention controls:</w:t>
      </w:r>
      <w:r>
        <w:rPr>
          <w:rFonts w:ascii="Times New Roman" w:cs="Times New Roman" w:eastAsia="Times New Roman" w:hAnsi="Times New Roman"/>
          <w:sz w:val="21"/>
          <w:szCs w:val="21"/>
        </w:rPr>
        <w:t xml:space="preserve"> user-facing retention and deletion options.</w:t>
      </w:r>
    </w:p>
    <w:p>
      <w:pPr>
        <w:pStyle w:val="ListParagraph"/>
        <w:numPr>
          <w:ilvl w:val="0"/>
          <w:numId w:val="2"/>
        </w:numPr>
        <w:spacing w:after="80" w:line="288"/>
        <w:jc w:val="both"/>
      </w:pPr>
      <w:r>
        <w:rPr>
          <w:rFonts w:ascii="Times New Roman" w:cs="Times New Roman" w:eastAsia="Times New Roman" w:hAnsi="Times New Roman"/>
          <w:b/>
          <w:bCs/>
          <w:sz w:val="21"/>
          <w:szCs w:val="21"/>
        </w:rPr>
        <w:t xml:space="preserve">Accessibility and localization:</w:t>
      </w:r>
      <w:r>
        <w:rPr>
          <w:rFonts w:ascii="Times New Roman" w:cs="Times New Roman" w:eastAsia="Times New Roman" w:hAnsi="Times New Roman"/>
          <w:sz w:val="21"/>
          <w:szCs w:val="21"/>
        </w:rPr>
        <w:t xml:space="preserve"> expanded language and accessibility support.</w:t>
      </w:r>
    </w:p>
    <w:p>
      <w:pPr>
        <w:spacing w:after="60"/>
      </w:pPr>
    </w:p>
    <w:p>
      <w:pPr>
        <w:spacing w:after="120" w:before="0" w:line="288"/>
        <w:jc w:val="both"/>
      </w:pPr>
      <w:r>
        <w:rPr>
          <w:rFonts w:ascii="Times New Roman" w:cs="Times New Roman" w:eastAsia="Times New Roman" w:hAnsi="Times New Roman"/>
          <w:sz w:val="21"/>
          <w:szCs w:val="21"/>
        </w:rPr>
        <w:t xml:space="preserve">Each enhancement should have a clear requirement, threat assessment, migration plan where applicable, tests and a completion gate, and should be added according to user need and operational readiness.</w:t>
      </w:r>
    </w:p>
    <w:p>
      <w:pPr>
        <w:pStyle w:val="Heading1"/>
        <w:keepNext/>
        <w:pageBreakBefore/>
        <w:spacing w:after="200"/>
      </w:pPr>
      <w:r>
        <w:rPr>
          <w:rFonts w:ascii="Calibri" w:cs="Calibri" w:eastAsia="Calibri" w:hAnsi="Calibri"/>
          <w:b/>
          <w:bCs/>
          <w:color w:val="1F4E79"/>
          <w:sz w:val="32"/>
          <w:szCs w:val="32"/>
        </w:rPr>
        <w:t xml:space="preserve">CHAPTER 13: BIBLIOGRAPHY</w:t>
      </w:r>
    </w:p>
    <w:p>
      <w:pPr>
        <w:keepNext/>
        <w:spacing w:after="120" w:before="0" w:line="288"/>
        <w:jc w:val="both"/>
      </w:pPr>
      <w:r>
        <w:rPr>
          <w:rFonts w:ascii="Times New Roman" w:cs="Times New Roman" w:eastAsia="Times New Roman" w:hAnsi="Times New Roman"/>
          <w:sz w:val="21"/>
          <w:szCs w:val="21"/>
        </w:rPr>
        <w:t xml:space="preserve">The following resources may be consulted during implementation and documentation:</w:t>
      </w:r>
    </w:p>
    <w:p>
      <w:pPr>
        <w:pStyle w:val="ListParagraph"/>
        <w:numPr>
          <w:ilvl w:val="0"/>
          <w:numId w:val="2"/>
        </w:numPr>
        <w:spacing w:after="80" w:line="288"/>
        <w:jc w:val="both"/>
      </w:pPr>
      <w:r>
        <w:rPr>
          <w:rFonts w:ascii="Times New Roman" w:cs="Times New Roman" w:eastAsia="Times New Roman" w:hAnsi="Times New Roman"/>
          <w:sz w:val="21"/>
          <w:szCs w:val="21"/>
        </w:rPr>
        <w:t xml:space="preserve">Next.js Documentation — https://nextjs.org/docs</w:t>
      </w:r>
    </w:p>
    <w:p>
      <w:pPr>
        <w:pStyle w:val="ListParagraph"/>
        <w:numPr>
          <w:ilvl w:val="0"/>
          <w:numId w:val="2"/>
        </w:numPr>
        <w:spacing w:after="80" w:line="288"/>
        <w:jc w:val="both"/>
      </w:pPr>
      <w:r>
        <w:rPr>
          <w:rFonts w:ascii="Times New Roman" w:cs="Times New Roman" w:eastAsia="Times New Roman" w:hAnsi="Times New Roman"/>
          <w:sz w:val="21"/>
          <w:szCs w:val="21"/>
        </w:rPr>
        <w:t xml:space="preserve">React Documentation — https://react.dev/</w:t>
      </w:r>
    </w:p>
    <w:p>
      <w:pPr>
        <w:pStyle w:val="ListParagraph"/>
        <w:numPr>
          <w:ilvl w:val="0"/>
          <w:numId w:val="2"/>
        </w:numPr>
        <w:spacing w:after="80" w:line="288"/>
        <w:jc w:val="both"/>
      </w:pPr>
      <w:r>
        <w:rPr>
          <w:rFonts w:ascii="Times New Roman" w:cs="Times New Roman" w:eastAsia="Times New Roman" w:hAnsi="Times New Roman"/>
          <w:sz w:val="21"/>
          <w:szCs w:val="21"/>
        </w:rPr>
        <w:t xml:space="preserve">TypeScript Documentation — https://www.typescriptlang.org/docs/</w:t>
      </w:r>
    </w:p>
    <w:p>
      <w:pPr>
        <w:pStyle w:val="ListParagraph"/>
        <w:numPr>
          <w:ilvl w:val="0"/>
          <w:numId w:val="2"/>
        </w:numPr>
        <w:spacing w:after="80" w:line="288"/>
        <w:jc w:val="both"/>
      </w:pPr>
      <w:r>
        <w:rPr>
          <w:rFonts w:ascii="Times New Roman" w:cs="Times New Roman" w:eastAsia="Times New Roman" w:hAnsi="Times New Roman"/>
          <w:sz w:val="21"/>
          <w:szCs w:val="21"/>
        </w:rPr>
        <w:t xml:space="preserve">Tailwind CSS Documentation — https://tailwindcss.com/docs</w:t>
      </w:r>
    </w:p>
    <w:p>
      <w:pPr>
        <w:pStyle w:val="ListParagraph"/>
        <w:numPr>
          <w:ilvl w:val="0"/>
          <w:numId w:val="2"/>
        </w:numPr>
        <w:spacing w:after="80" w:line="288"/>
        <w:jc w:val="both"/>
      </w:pPr>
      <w:r>
        <w:rPr>
          <w:rFonts w:ascii="Times New Roman" w:cs="Times New Roman" w:eastAsia="Times New Roman" w:hAnsi="Times New Roman"/>
          <w:sz w:val="21"/>
          <w:szCs w:val="21"/>
        </w:rPr>
        <w:t xml:space="preserve">shadcn/ui Documentation — https://ui.shadcn.com/</w:t>
      </w:r>
    </w:p>
    <w:p>
      <w:pPr>
        <w:pStyle w:val="ListParagraph"/>
        <w:numPr>
          <w:ilvl w:val="0"/>
          <w:numId w:val="2"/>
        </w:numPr>
        <w:spacing w:after="80" w:line="288"/>
        <w:jc w:val="both"/>
      </w:pPr>
      <w:r>
        <w:rPr>
          <w:rFonts w:ascii="Times New Roman" w:cs="Times New Roman" w:eastAsia="Times New Roman" w:hAnsi="Times New Roman"/>
          <w:sz w:val="21"/>
          <w:szCs w:val="21"/>
        </w:rPr>
        <w:t xml:space="preserve">Supabase Documentation — https://supabase.com/docs</w:t>
      </w:r>
    </w:p>
    <w:p>
      <w:pPr>
        <w:pStyle w:val="ListParagraph"/>
        <w:numPr>
          <w:ilvl w:val="0"/>
          <w:numId w:val="2"/>
        </w:numPr>
        <w:spacing w:after="80" w:line="288"/>
        <w:jc w:val="both"/>
      </w:pPr>
      <w:r>
        <w:rPr>
          <w:rFonts w:ascii="Times New Roman" w:cs="Times New Roman" w:eastAsia="Times New Roman" w:hAnsi="Times New Roman"/>
          <w:sz w:val="21"/>
          <w:szCs w:val="21"/>
        </w:rPr>
        <w:t xml:space="preserve">Google OAuth 2.0 — https://developers.google.com/identity/protocols/oauth2</w:t>
      </w:r>
    </w:p>
    <w:p>
      <w:pPr>
        <w:pStyle w:val="ListParagraph"/>
        <w:numPr>
          <w:ilvl w:val="0"/>
          <w:numId w:val="2"/>
        </w:numPr>
        <w:spacing w:after="80" w:line="288"/>
        <w:jc w:val="both"/>
      </w:pPr>
      <w:r>
        <w:rPr>
          <w:rFonts w:ascii="Times New Roman" w:cs="Times New Roman" w:eastAsia="Times New Roman" w:hAnsi="Times New Roman"/>
          <w:sz w:val="21"/>
          <w:szCs w:val="21"/>
        </w:rPr>
        <w:t xml:space="preserve">Gmail API — https://developers.google.com/gmail/api</w:t>
      </w:r>
    </w:p>
    <w:p>
      <w:pPr>
        <w:pStyle w:val="ListParagraph"/>
        <w:numPr>
          <w:ilvl w:val="0"/>
          <w:numId w:val="2"/>
        </w:numPr>
        <w:spacing w:after="80" w:line="288"/>
        <w:jc w:val="both"/>
      </w:pPr>
      <w:r>
        <w:rPr>
          <w:rFonts w:ascii="Times New Roman" w:cs="Times New Roman" w:eastAsia="Times New Roman" w:hAnsi="Times New Roman"/>
          <w:sz w:val="21"/>
          <w:szCs w:val="21"/>
        </w:rPr>
        <w:t xml:space="preserve">Google Calendar API — https://developers.google.com/calendar/api</w:t>
      </w:r>
    </w:p>
    <w:p>
      <w:pPr>
        <w:pStyle w:val="ListParagraph"/>
        <w:numPr>
          <w:ilvl w:val="0"/>
          <w:numId w:val="2"/>
        </w:numPr>
        <w:spacing w:after="80" w:line="288"/>
        <w:jc w:val="both"/>
      </w:pPr>
      <w:r>
        <w:rPr>
          <w:rFonts w:ascii="Times New Roman" w:cs="Times New Roman" w:eastAsia="Times New Roman" w:hAnsi="Times New Roman"/>
          <w:sz w:val="21"/>
          <w:szCs w:val="21"/>
        </w:rPr>
        <w:t xml:space="preserve">Google Sheets API — https://developers.google.com/sheets/api</w:t>
      </w:r>
    </w:p>
    <w:p>
      <w:pPr>
        <w:pStyle w:val="ListParagraph"/>
        <w:numPr>
          <w:ilvl w:val="0"/>
          <w:numId w:val="2"/>
        </w:numPr>
        <w:spacing w:after="80" w:line="288"/>
        <w:jc w:val="both"/>
      </w:pPr>
      <w:r>
        <w:rPr>
          <w:rFonts w:ascii="Times New Roman" w:cs="Times New Roman" w:eastAsia="Times New Roman" w:hAnsi="Times New Roman"/>
          <w:sz w:val="21"/>
          <w:szCs w:val="21"/>
        </w:rPr>
        <w:t xml:space="preserve">Playwright Documentation — https://playwright.dev/docs</w:t>
      </w:r>
    </w:p>
    <w:p>
      <w:pPr>
        <w:pStyle w:val="ListParagraph"/>
        <w:numPr>
          <w:ilvl w:val="0"/>
          <w:numId w:val="2"/>
        </w:numPr>
        <w:spacing w:after="80" w:line="288"/>
        <w:jc w:val="both"/>
      </w:pPr>
      <w:r>
        <w:rPr>
          <w:rFonts w:ascii="Times New Roman" w:cs="Times New Roman" w:eastAsia="Times New Roman" w:hAnsi="Times New Roman"/>
          <w:sz w:val="21"/>
          <w:szCs w:val="21"/>
        </w:rPr>
        <w:t xml:space="preserve">Vitest Documentation — https://vitest.dev/guide/</w:t>
      </w:r>
    </w:p>
    <w:p>
      <w:pPr>
        <w:spacing w:after="60"/>
      </w:pPr>
    </w:p>
    <w:p>
      <w:pPr>
        <w:spacing w:after="120" w:before="0" w:line="288"/>
        <w:jc w:val="both"/>
      </w:pPr>
      <w:r>
        <w:rPr>
          <w:rFonts w:ascii="Times New Roman" w:cs="Times New Roman" w:eastAsia="Times New Roman" w:hAnsi="Times New Roman"/>
          <w:i/>
          <w:iCs/>
          <w:sz w:val="21"/>
          <w:szCs w:val="21"/>
        </w:rPr>
        <w:t xml:space="preserve">These references are listed as technical documentation resources; they do not imply that every optional feature described in the report has been implemented.</w:t>
      </w:r>
    </w:p>
    <w:p>
      <w:pPr>
        <w:pageBreakBefore/>
        <w:spacing w:after="240" w:before="3600" w:line="312"/>
        <w:jc w:val="center"/>
      </w:pPr>
      <w:r>
        <w:rPr>
          <w:rFonts w:ascii="Calibri" w:cs="Calibri" w:eastAsia="Calibri" w:hAnsi="Calibri"/>
          <w:b/>
          <w:bCs/>
          <w:color w:val="1F4E79"/>
          <w:sz w:val="56"/>
          <w:szCs w:val="56"/>
        </w:rPr>
        <w:t xml:space="preserve">THANK YOU</w:t>
      </w:r>
    </w:p>
    <w:p>
      <w:pPr>
        <w:spacing w:after="160" w:before="0" w:line="312"/>
        <w:jc w:val="center"/>
      </w:pPr>
      <w:r>
        <w:rPr>
          <w:rFonts w:ascii="Times New Roman" w:cs="Times New Roman" w:eastAsia="Times New Roman" w:hAnsi="Times New Roman"/>
          <w:b/>
          <w:bCs/>
          <w:sz w:val="28"/>
          <w:szCs w:val="28"/>
        </w:rPr>
        <w:t xml:space="preserve">FLOWPILOT AI AUTOMATION DASHBOARD</w:t>
      </w:r>
    </w:p>
    <w:p>
      <w:pPr>
        <w:spacing w:after="120" w:before="0" w:line="312"/>
        <w:jc w:val="center"/>
      </w:pPr>
      <w:r>
        <w:rPr>
          <w:rFonts w:ascii="Times New Roman" w:cs="Times New Roman" w:eastAsia="Times New Roman" w:hAnsi="Times New Roman"/>
          <w:color w:val="555555"/>
          <w:sz w:val="22"/>
          <w:szCs w:val="22"/>
        </w:rPr>
        <w:t xml:space="preserve">Next.js • TypeScript • Supabase • LLM API • Google APIs</w:t>
      </w:r>
    </w:p>
    <w:sectPr>
      <w:headerReference w:type="default" r:id="rId9"/>
      <w:footerReference w:type="default" r:id="rId10"/>
      <w:pgSz w:w="11906" w:h="16838" w:orient="portrait"/>
      <w:pgMar w:top="1500" w:right="1300" w:bottom="1400" w:left="1300" w:header="600" w:footer="600" w:gutter="0"/>
      <w:pgBorders w:display="allPages" w:offsetFrom="page" w:zOrder="front">
        <w:top w:val="single" w:color="000000" w:sz="8" w:space="24"/>
        <w:left w:val="single" w:color="000000" w:sz="8" w:space="24"/>
        <w:bottom w:val="single" w:color="000000" w:sz="8" w:space="24"/>
        <w:right w:val="single" w:color="000000" w:sz="8"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Times New Roman" w:cs="Times New Roman" w:eastAsia="Times New Roman" w:hAnsi="Times New Roman"/>
        <w:color w:val="7F7F7F"/>
        <w:sz w:val="16"/>
        <w:szCs w:val="16"/>
      </w:rPr>
      <w:t xml:space="preserve">Vibrant Technology  |  BCA Semester V  |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Times New Roman" w:cs="Times New Roman" w:eastAsia="Times New Roman" w:hAnsi="Times New Roman"/>
        <w:color w:val="7F7F7F"/>
        <w:sz w:val="16"/>
        <w:szCs w:val="16"/>
      </w:rPr>
      <w:t xml:space="preserve">Vibrant Technology  |  BCA Semester V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b/>
        <w:bCs/>
        <w:color w:val="1F4E79"/>
        <w:sz w:val="16"/>
        <w:szCs w:val="16"/>
      </w:rPr>
      <w:t xml:space="preserve">FLOWPILOT AI AUTOMATION DASHBOARD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Times New Roman" w:eastAsia="Times New Roman" w:hAnsi="Times New Roman"/>
        <w:b/>
        <w:bCs/>
        <w:color w:val="1F4E79"/>
        <w:sz w:val="16"/>
        <w:szCs w:val="16"/>
      </w:rPr>
      <w:t xml:space="preserve">FLOWPILOT AI AUTOMATION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pPr>
      <w:spacing w:after="0"/>
    </w:pPr>
    <w:rPr>
      <w:rFonts w:ascii="Times New Roman" w:cs="Times New Roman" w:eastAsia="Times New Roman" w:hAnsi="Times New Roman"/>
      <w:color w:val="7F7F7F"/>
      <w:sz w:val="16"/>
      <w:szCs w:val="16"/>
    </w:rPr>
  </w:style>
  <w:style w:type="paragraph" w:styleId="Heading1">
    <w:name w:val="Heading 1"/>
    <w:basedOn w:val="Normal"/>
    <w:next w:val="Normal"/>
    <w:qFormat/>
    <w:pPr>
      <w:spacing w:after="2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9086a866a8c09e7fe64e2ff6f82de34eb14df86.png"/><Relationship Id="rId12" Type="http://schemas.openxmlformats.org/officeDocument/2006/relationships/image" Target="media/2747dcf88740dbf11c5ac7a6e051a43abc485a56.png"/><Relationship Id="rId13" Type="http://schemas.openxmlformats.org/officeDocument/2006/relationships/image" Target="media/55ff1e453615eb9b43a7c3b9b2ffd0d37c3cbedb.png"/><Relationship Id="rId14" Type="http://schemas.openxmlformats.org/officeDocument/2006/relationships/image" Target="media/6b98f6bbcb9b96ed862e7e3ba525a469393b1dbd.png"/><Relationship Id="rId15" Type="http://schemas.openxmlformats.org/officeDocument/2006/relationships/image" Target="media/88db1e28c51cc758e5f86e6403a2a85b8afc5da5.png"/><Relationship Id="rId16" Type="http://schemas.openxmlformats.org/officeDocument/2006/relationships/image" Target="media/b60383c35d224d75d90274ed9388016dd45f759e.png"/><Relationship Id="rId17" Type="http://schemas.openxmlformats.org/officeDocument/2006/relationships/image" Target="media/618ef37edaccb6804cc05cde3f846a7a870cb568.png"/><Relationship Id="rId18" Type="http://schemas.openxmlformats.org/officeDocument/2006/relationships/image" Target="media/e12e58a455be3f921409a1c4e36e93cdcab3f709.png"/><Relationship Id="rId19" Type="http://schemas.openxmlformats.org/officeDocument/2006/relationships/image" Target="media/6f0398d51d7cd5d1c020b4b89099b9733e6c5385.png"/><Relationship Id="rId20" Type="http://schemas.openxmlformats.org/officeDocument/2006/relationships/image" Target="media/f3c155d4c2a12f62db5d72507e9424cb1d700717.png"/><Relationship Id="rId21" Type="http://schemas.openxmlformats.org/officeDocument/2006/relationships/image" Target="media/17cdfc7ddd989f1c290cf6182d502ac18f97e1a9.png"/><Relationship Id="rId22" Type="http://schemas.openxmlformats.org/officeDocument/2006/relationships/image" Target="media/36646405fea0d31078057928eca1c99dd7cbe202.png"/><Relationship Id="rId23" Type="http://schemas.openxmlformats.org/officeDocument/2006/relationships/image" Target="media/332dcbc9c37f7932f74273b3bd26770575312261.png"/><Relationship Id="rId24" Type="http://schemas.openxmlformats.org/officeDocument/2006/relationships/image" Target="media/9d5bdbaaa6fcb44e1290ae99ba8eea833785d0e8.png"/><Relationship Id="rId25" Type="http://schemas.openxmlformats.org/officeDocument/2006/relationships/image" Target="media/3c9f260764b7b108e02f7711c9bca0ed5074f3de.png"/><Relationship Id="rId26" Type="http://schemas.openxmlformats.org/officeDocument/2006/relationships/image" Target="media/dd866e5fdae3ccd3a1e45c9994eb36ad48f217ef.png"/><Relationship Id="rId27" Type="http://schemas.openxmlformats.org/officeDocument/2006/relationships/image" Target="media/8ebe1bfdfa59a6913f005c0294c48da6d75c7df8.png"/><Relationship Id="rId28" Type="http://schemas.openxmlformats.org/officeDocument/2006/relationships/image" Target="media/48990b2eec87e64d59b5023f4f98c65a7a57e7c7.png"/><Relationship Id="rId29" Type="http://schemas.openxmlformats.org/officeDocument/2006/relationships/image" Target="media/61a6028efb2187ebb8920a8977769522454a5318.png"/><Relationship Id="rId30" Type="http://schemas.openxmlformats.org/officeDocument/2006/relationships/image" Target="media/e3b670913777a3d413569e846e8b94e3ab342688.png"/><Relationship Id="rId31" Type="http://schemas.openxmlformats.org/officeDocument/2006/relationships/image" Target="media/450835ffa2154b56caa4d1b404b2bd48348b2a7d.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FlowPilot AI Automation Dashboard - Project Report</dc:title>
  <dc:creator>Project Team</dc:creator>
  <cp:lastModifiedBy>Un-named</cp:lastModifiedBy>
  <cp:revision>1</cp:revision>
  <dcterms:created xsi:type="dcterms:W3CDTF">2026-10-12T19:28:51.988Z</dcterms:created>
  <dcterms:modified xsi:type="dcterms:W3CDTF">2026-10-12T19:28:51.988Z</dcterms:modified>
</cp:coreProperties>
</file>

<file path=docProps/custom.xml><?xml version="1.0" encoding="utf-8"?>
<Properties xmlns="http://schemas.openxmlformats.org/officeDocument/2006/custom-properties" xmlns:vt="http://schemas.openxmlformats.org/officeDocument/2006/docPropsVTypes"/>
</file>