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/>
      </w:r>
    </w:p>
    <w:p>
      <w:pPr>
        <w:spacing w:after="100"/>
        <w:jc w:val="center"/>
      </w:pPr>
      <w:r>
        <w:rPr>
          <w:rFonts w:ascii="Consolas" w:cs="Consolas" w:eastAsia="Consolas" w:hAnsi="Consolas"/>
          <w:color w:val="1597A5"/>
          <w:spacing w:val="60"/>
          <w:sz w:val="20"/>
          <w:szCs w:val="20"/>
        </w:rPr>
        <w:t xml:space="preserve">ai4building  ·  Digital Twin System</w:t>
      </w:r>
    </w:p>
    <w:p>
      <w:pPr>
        <w:spacing w:after="60"/>
        <w:jc w:val="center"/>
      </w:pPr>
      <w:r>
        <w:rPr>
          <w:rFonts w:ascii="Consolas" w:cs="Consolas" w:eastAsia="Consolas" w:hAnsi="Consolas"/>
          <w:b/>
          <w:bCs/>
          <w:color w:val="0E2A47"/>
          <w:sz w:val="54"/>
          <w:szCs w:val="54"/>
        </w:rPr>
        <w:t xml:space="preserve">energyMatrix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0E2A47"/>
          <w:sz w:val="38"/>
          <w:szCs w:val="38"/>
        </w:rPr>
        <w:t xml:space="preserve">FIN Pod 详细设计说明书</w:t>
      </w:r>
    </w:p>
    <w:p>
      <w:pPr>
        <w:pBdr>
          <w:top w:val="single" w:color="C49A2E" w:sz="8" w:space="10"/>
        </w:pBdr>
        <w:spacing w:after="820"/>
        <w:jc w:val="center"/>
      </w:pPr>
      <w:r>
        <w:rPr>
          <w:rFonts w:ascii="Microsoft YaHei" w:cs="Microsoft YaHei" w:eastAsia="Microsoft YaHei" w:hAnsi="Microsoft YaHei"/>
          <w:color w:val="0E7C86"/>
          <w:sz w:val="23"/>
          <w:szCs w:val="23"/>
        </w:rPr>
        <w:t xml:space="preserve">数据接口 · Fantom 类设计 · 前端骨架 · 部署与时序</w:t>
      </w:r>
    </w:p>
    <w:p>
      <w:pPr>
        <w:spacing w:after="80"/>
        <w:jc w:val="center"/>
      </w:pPr>
      <w:r>
        <w:t>版本 V0.1.2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B6B7A"/>
          <w:sz w:val="22"/>
          <w:szCs w:val="22"/>
        </w:rPr>
        <w:t>西门子中国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B6B7A"/>
          <w:sz w:val="22"/>
          <w:szCs w:val="22"/>
        </w:rPr>
        <w:t xml:space="preserve">2026 年 9 月</w:t>
      </w:r>
    </w:p>
    <w:p>
      <w:r>
        <w:br w:type="page"/>
      </w:r>
    </w:p>
    <w:p>
      <w:pPr>
        <w:pStyle w:val="Heading1"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文档信息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项目</w:t>
            </w:r>
          </w:p>
        </w:tc>
        <w:tc>
          <w:tcPr>
            <w:tcW w:type="dxa" w:w="72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文档名称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energyMatrix FIN Pod 详细设计说明书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文档编号</w:t>
            </w:r>
          </w:p>
        </w:tc>
        <w:tc>
          <w:tcPr>
            <w:tcW w:type="dxa" w:w="7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AI4B-EM-DD-2026-001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版本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V0.1.2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密级</w:t>
            </w:r>
          </w:p>
        </w:tc>
        <w:tc>
          <w:tcPr>
            <w:tcW w:type="dxa" w:w="7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公司内部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上游文档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t>AI4B-EM-DS-2026-001《energyMatrix 语义模型设计说明书》V0.1.2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覆盖范围</w:t>
            </w:r>
          </w:p>
        </w:tc>
        <w:tc>
          <w:tcPr>
            <w:tcW w:type="dxa" w:w="7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数据接口设计、Fantom 后台类设计、前端路由与功能设计、部署与关键流程时序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不覆盖范围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语义模型定义（见上游文档）、控制逻辑与寻优算法（见 CoolMatrix / heatMatrix 设计说明）、UI 视觉规范（见界面设计说明）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技术栈</w:t>
            </w:r>
          </w:p>
        </w:tc>
        <w:tc>
          <w:tcPr>
            <w:tcW w:type="dxa" w:w="7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Fantom / FIN Framework 5.x / Haxall · Xeto 5.0 · React 18 + TypeScript · Folio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编制单位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>西门子中国 · ai4building</w:t>
            </w:r>
          </w:p>
        </w:tc>
      </w:tr>
    </w:tbl>
    <w:p>
      <w:pPr>
        <w:spacing w:after="24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修订记录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080"/>
        <w:gridCol w:w="1620"/>
        <w:gridCol w:w="4680"/>
        <w:gridCol w:w="1620"/>
      </w:tblGrid>
      <w:tr>
        <w:trPr>
          <w:tblHeader/>
        </w:trPr>
        <w:tc>
          <w:tcPr>
            <w:tcW w:type="dxa" w:w="10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版本</w:t>
            </w:r>
          </w:p>
        </w:tc>
        <w:tc>
          <w:tcPr>
            <w:tcW w:type="dxa" w:w="16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46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修订内容</w:t>
            </w:r>
          </w:p>
        </w:tc>
        <w:tc>
          <w:tcPr>
            <w:tcW w:type="dxa" w:w="16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编制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V0.1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2026-09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接口清单与类设计草案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架构组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V1.0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2026-09</w:t>
            </w:r>
          </w:p>
        </w:tc>
        <w:tc>
          <w:tcPr>
            <w:tcW w:type="dxa" w:w="46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补充 UML 类图、时序图、部署图与非功能设计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架构组</w:t>
            </w:r>
          </w:p>
        </w:tc>
      </w:tr>
      <w:tr>
        <w:tc>
          <w:tcPr>
            <w:tcW w:type="dxa" w:w="1080"/>
          </w:tcPr>
          <w:p>
            <w:r>
              <w:t>V0.1.1</w:t>
            </w:r>
          </w:p>
        </w:tc>
        <w:tc>
          <w:tcPr>
            <w:tcW w:type="dxa" w:w="1620"/>
          </w:tcPr>
          <w:p>
            <w:r>
              <w:t>2026-09</w:t>
            </w:r>
          </w:p>
        </w:tc>
        <w:tc>
          <w:tcPr>
            <w:tcW w:type="dxa" w:w="4680"/>
          </w:tcPr>
          <w:p>
            <w:r>
              <w:t>新增能流图（Sankey）屏设计；版本统一为 0.1.1；公司主体变更为西门子中国</w:t>
            </w:r>
          </w:p>
        </w:tc>
        <w:tc>
          <w:tcPr>
            <w:tcW w:type="dxa" w:w="1620"/>
          </w:tcPr>
          <w:p>
            <w:r>
              <w:t>架构组</w:t>
            </w:r>
          </w:p>
        </w:tc>
      </w:tr>
      <w:tr>
        <w:tc>
          <w:tcPr>
            <w:tcW w:type="dxa" w:w="1080"/>
          </w:tcPr>
          <w:p>
            <w:r>
              <w:t>V0.1.2</w:t>
            </w:r>
          </w:p>
        </w:tc>
        <w:tc>
          <w:tcPr>
            <w:tcW w:type="dxa" w:w="1620"/>
          </w:tcPr>
          <w:p>
            <w:r>
              <w:t>2026-09</w:t>
            </w:r>
          </w:p>
        </w:tc>
        <w:tc>
          <w:tcPr>
            <w:tcW w:type="dxa" w:w="4680"/>
          </w:tcPr>
          <w:p>
            <w:r>
              <w:t>新增核心 KPI 考核屏（/kpi）设计：复用 emKpiDefs/emKpiComputeAll/emQuotaProgressAll，站点模型新增 emBeds（核定床位数）且参数 UI 可配置；版本统一为 0.1.2</w:t>
            </w:r>
          </w:p>
        </w:tc>
        <w:tc>
          <w:tcPr>
            <w:tcW w:type="dxa" w:w="1620"/>
          </w:tcPr>
          <w:p>
            <w:r>
              <w:t>架构组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目录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1  引言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5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1.1  编制目的与范围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5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1.2  设计原则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5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1.3  技术栈与约束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5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2  系统架构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6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2.1  逻辑架构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6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2.2  部署架构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7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2.3  运行时与并发模型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8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2.4  Pod 工程结构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8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3  Fantom 后台设计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9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3.1  领域与持久层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9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3.2  计算引擎层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10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3.3  服务接口层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11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3.4  类职责说明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11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3.5  任务调度与事务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12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3.6  异常与错误码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12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4  数据接口设计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14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4.1  接口总则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14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4.2  REST 接口清单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14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4.3  关键接口定义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16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4.4  Axon 函数库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18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4.5  Haystack Ops 约定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19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4.6  外部系统集成接口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19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5  前端设计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20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5.1  工程结构与分层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20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5.2  路由骨架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21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5.3  模块功能说明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21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5.4  数据获取与缓存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22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5.5  角色与权限矩阵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22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6  关键流程时序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23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6.1  台账生成与关账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23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6.2  分摊执行与红冲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23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6.3  账单生成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24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6.4  基线拟合与核证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25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6.5  诊断到工单闭环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26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7  非功能设计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28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7.1  容量估算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28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7.2  性能目标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28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7.3  可用性与故障恢复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29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7.4  安全与审计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29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8  开发与交付计划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30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附录 A  错误码表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31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附录 B  前端路由全量清单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32</w:t>
      </w:r>
    </w:p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1  引言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1.1  编制目的与范围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本文档是 energyMatrix 的软件详细设计说明，向下对接编码实现，向上承接《energyMatrix 语义模型设计说明书》所定义的两层语义模型。上游文档回答“数据长什么样”，本文档回答“程序怎么组织、接口怎么调、进程怎么部署”。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交付对象包括 Fantom 后台开发、React 前端开发、测试、实施部署与第三方系统对接方。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1.2  设计原则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语义模型是唯一真源。所有类的字段与接口的字段一律从 Xeto spec 派生，禁止在代码中新增模型未定义的业务字段。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引擎无状态，上下文显式传递。所有计算引擎通过 EmCalcCtx 接收边界、账期与幂等键，不持有跨调用的可变状态。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写操作幂等。所有产生台账条目的接口必须携带幂等键，重复提交不产生重复条目。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账务层不进控制环。energyMatrix 永不写控制点，实时安全回路不依赖本 Pod 的任何计算结果。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边缘可离线。边缘节点在与中心断连期间继续采集与本地缓存，恢复后按序补传，不因网络中断丢失计量数据。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1.3  技术栈与约束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080"/>
        <w:gridCol w:w="3780"/>
        <w:gridCol w:w="4140"/>
      </w:tblGrid>
      <w:tr>
        <w:trPr>
          <w:tblHeader/>
        </w:trPr>
        <w:tc>
          <w:tcPr>
            <w:tcW w:type="dxa" w:w="10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层</w:t>
            </w:r>
          </w:p>
        </w:tc>
        <w:tc>
          <w:tcPr>
            <w:tcW w:type="dxa" w:w="37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技术选型</w:t>
            </w:r>
          </w:p>
        </w:tc>
        <w:tc>
          <w:tcPr>
            <w:tcW w:type="dxa" w:w="41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运行时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FIN Framework 5.x / Haxall，Fantom 1.0.8x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Pod 形式部署，不引入外部 JVM 容器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数据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Folio（rec + his）</w:t>
            </w:r>
          </w:p>
        </w:tc>
        <w:tc>
          <w:tcPr>
            <w:tcW w:type="dxa" w:w="41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不引入独立关系库；台账即 Folio rec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语义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Xeto 5.0，lib em 0.1.0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依赖 sys、ph、ph.points、ph.equips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计算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Fantom 内置 + ONNX Runtime（基线推理）</w:t>
            </w:r>
          </w:p>
        </w:tc>
        <w:tc>
          <w:tcPr>
            <w:tcW w:type="dxa" w:w="41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模型工件外置，代码不内嵌系数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接口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REST / JSON + Haystack Ops (Zinc, JSON)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统一走 FIN 鉴权，不另起认证体系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前端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React 18 + TypeScript + Vite</w:t>
            </w:r>
          </w:p>
        </w:tc>
        <w:tc>
          <w:tcPr>
            <w:tcW w:type="dxa" w:w="41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单页应用，构建产物随 Pod 发布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图表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自研 SVG 原语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不引入重型图表库，保证视觉一致性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1-1  技术栈与约束</w:t>
      </w:r>
    </w:p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2  系统架构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2.1  逻辑架构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系统自上而下分五层。表现层与服务接口层之间只有 HTTPS/JSON 一种通道；计算引擎层不直接访问 Folio，一律经 EmRepo；数据接入层复用 FIN 既有连接器，本 Pod 不自研任何现场协议驱动。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648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2-1  energyMatrix 逻辑架构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2.2  部署架构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采用边缘加中心的两级部署。边缘节点（AI-BOX / NEXIO）负责采集、本地缓存与断网续传；中心节点（阿里云 ECS）承载主 Folio、计算引擎与对外接口。两级之间通过 FIN 复制机制同步，仅开放 443 出方向，现场侧不暴露任何入方向端口。</w:t>
      </w:r>
    </w:p>
    <w:p>
      <w:pPr>
        <w:spacing w:after="40" w:before="120"/>
        <w:jc w:val="center"/>
      </w:pPr>
      <w:r>
        <w:drawing>
          <wp:inline distT="0" distB="0" distL="0" distR="0">
            <wp:extent cx="5572125" cy="704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2-2  部署架构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440"/>
        <w:gridCol w:w="2520"/>
        <w:gridCol w:w="5040"/>
      </w:tblGrid>
      <w:tr>
        <w:trPr>
          <w:tblHeader/>
        </w:trPr>
        <w:tc>
          <w:tcPr>
            <w:tcW w:type="dxa" w:w="14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节点</w:t>
            </w:r>
          </w:p>
        </w:tc>
        <w:tc>
          <w:tcPr>
            <w:tcW w:type="dxa" w:w="25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配置建议</w:t>
            </w:r>
          </w:p>
        </w:tc>
        <w:tc>
          <w:tcPr>
            <w:tcW w:type="dxa" w:w="50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职责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边缘 AI-BOX</w:t>
            </w:r>
          </w:p>
        </w:tc>
        <w:tc>
          <w:tcPr>
            <w:tcW w:type="dxa" w:w="25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4 核 / 8 GB / 128 GB SSD</w:t>
            </w:r>
          </w:p>
        </w:tc>
        <w:tc>
          <w:tcPr>
            <w:tcW w:type="dxa" w:w="5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协议采集、点位归一、本地 Folio 缓存 7 天、断网续传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中心 ECS</w:t>
            </w:r>
          </w:p>
        </w:tc>
        <w:tc>
          <w:tcPr>
            <w:tcW w:type="dxa" w:w="25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8 核 / 32 GB / 500 GB ESSD</w:t>
            </w:r>
          </w:p>
        </w:tc>
        <w:tc>
          <w:tcPr>
            <w:tcW w:type="dxa" w:w="50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主 Folio、全部计算引擎、REST 接口、模型推理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备份</w:t>
            </w:r>
          </w:p>
        </w:tc>
        <w:tc>
          <w:tcPr>
            <w:tcW w:type="dxa" w:w="25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OSS 标准存储</w:t>
            </w:r>
          </w:p>
        </w:tc>
        <w:tc>
          <w:tcPr>
            <w:tcW w:type="dxa" w:w="5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每日 Folio 快照，保留 90 天；月度归档保留 5 年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客户端</w:t>
            </w:r>
          </w:p>
        </w:tc>
        <w:tc>
          <w:tcPr>
            <w:tcW w:type="dxa" w:w="25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Chrome 110 及以上</w:t>
            </w:r>
          </w:p>
        </w:tc>
        <w:tc>
          <w:tcPr>
            <w:tcW w:type="dxa" w:w="50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React SPA，最小分辨率 1440×900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2-1  部署节点配置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2.3  运行时与并发模型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EmExt 作为 HxLib 子类在 Pod 启动时注册，持有 EmRepo、EmModel 与 EmScheduler 三个长生命周期对象。所有重计算走 EmScheduler 这一 Actor，串行化到单一消息队列，避免同一账期被并发重算。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080"/>
        <w:gridCol w:w="3600"/>
        <w:gridCol w:w="4320"/>
      </w:tblGrid>
      <w:tr>
        <w:trPr>
          <w:tblHeader/>
        </w:trPr>
        <w:tc>
          <w:tcPr>
            <w:tcW w:type="dxa" w:w="10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机制</w:t>
            </w:r>
          </w:p>
        </w:tc>
        <w:tc>
          <w:tcPr>
            <w:tcW w:type="dxa" w:w="36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实现</w:t>
            </w:r>
          </w:p>
        </w:tc>
        <w:tc>
          <w:tcPr>
            <w:tcW w:type="dxa" w:w="43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调度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EmScheduler extends Actor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cron 定时与手工提交统一入队，队列深度上限 64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幂等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idempotencyKey = sha1(op + siteRef + span + granularity)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队列内去重，已完成任务 24 小时内重复提交直接返回原结果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事务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Folio 批量 commit，每批 2000 条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EmCloseTx 内任一步骤失败即回滚本批，已提交批次通过红冲撤销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长任务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Future + 进度回写 EmCalcResult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前端轮询 /api/em/jobs/{id} 获取进度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房务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onHouseKeeping 每 10 分钟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清理过期 Future、重推失败的外部推送队列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2-2  运行时机制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2.4  Pod 工程结构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energyMatrix/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build.fan                 # Fantom 构建脚本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lib/em/*.xeto             # Xeto 语义库（见上游文档）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fan/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EmExt.fan               # HxLib 入口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domain/                 # EmRec 及其子类、EmRepo、EmModel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engine/                 # EmEngine 及七个引擎、EmCloseTx、EmScheduler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api/                    # EmRestMod、EmHandler 及七个子类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axon/                   # EmAxonFuncs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export/                 # EmExportSvc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util/                   # EmError、EmAudit、EmPrincipal、EmFormulaEval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test/                     # Fantom 单元测试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ui/                       # React 工程，构建产物输出至 res/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res/                      # 前端静态资源、默认诊断规则、示例费率</w:t>
            </w:r>
          </w:p>
        </w:tc>
      </w:tr>
    </w:tbl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3  Fantom 后台设计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3.1  领域与持久层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EmRec 是所有领域对象的抽象基类，封装 Folio Dict 与强类型访问器。领域对象一律 const class，不可变；修改通过构造新实例并 commit 完成。EmRepo 是唯一的 Folio 访问出口，引擎层不得直接持有 Folio 引用。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669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3-1  领域与持久层类图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3.2  计算引擎层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所有引擎继承 EmEngine，统一 run(ctx) 签名，统一返回 EmCalcResult。EmCloseTx 不是引擎，而是编排关账四步骤的事务对象，它按顺序调用 EmLedgerEngine 与 EmAllocEngine，并在第四步执行缺口率闸门。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3-2  计算引擎基类与台账、分摊、关账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3-3  计费、指标、核证、碳与诊断引擎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3.3  服务接口层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EmRestMod 是 WebMod 子类，负责路由、鉴权与序列化；每个业务域对应一个 EmHandler 子类。EmAxonFuncs 以静态方法加 @Axon facet 暴露同一批能力给 Axon 脚本与 FIN 规则引擎，二者共享引擎实现，不存在两套逻辑。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3-4  服务接口层类图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3.4  类职责说明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530"/>
        <w:gridCol w:w="720"/>
        <w:gridCol w:w="3780"/>
        <w:gridCol w:w="2970"/>
      </w:tblGrid>
      <w:tr>
        <w:trPr>
          <w:tblHeader/>
        </w:trPr>
        <w:tc>
          <w:tcPr>
            <w:tcW w:type="dxa" w:w="153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类</w:t>
            </w:r>
          </w:p>
        </w:tc>
        <w:tc>
          <w:tcPr>
            <w:tcW w:type="dxa" w:w="7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层</w:t>
            </w:r>
          </w:p>
        </w:tc>
        <w:tc>
          <w:tcPr>
            <w:tcW w:type="dxa" w:w="37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职责</w:t>
            </w:r>
          </w:p>
        </w:tc>
        <w:tc>
          <w:tcPr>
            <w:tcW w:type="dxa" w:w="297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关键约束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EmExt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入口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Pod 生命周期、服务注册、房务任务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onStart 内不执行重计算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EmRepo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持久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Folio 读写唯一出口、批量提交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commitLedger 强制校验 emDataSource 非空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EmModel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持久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Xeto 命名空间访问与 rec 校验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写入前 fits 校验失败即拒绝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EmRec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领域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Dict 封装与强类型访问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const class，不可变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EmMeter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领域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计量对象，含角色、介质、父表与倍率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submeterOf 跨介质即校验失败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EmLedgerEntry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领域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台账条目，含 negate 红冲构造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closed 为真时任何修改抛 EM-3003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EmEngine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引擎抽象基类，统一 run 与审计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禁止持有可变状态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EmLedgerEngine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L2 delta 转台账，含溢出与换表补偿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quality 低于阈值标 estimated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EmAllocEngine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七种分摊方法执行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结果条目必带 ruleRef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EmCloseTx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关账四步骤编排与缺口率闸门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gate 不通过即整体回滚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EmBillEngine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台账乘费率生成账单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账期未关账拒绝出账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EmKpiEngine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指标计算与定额校验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写 L3 归一化点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EmBaselineEngine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基线拟合、调整与核证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未通过统计验收不得置 verified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EmCarbonEngine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碳账计算与因子版本锁定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因子缺依据文号即拒绝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EmDiagEngine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诊断规则匹配与事件生成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只产生事件，不写控制点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EmScheduler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Actor 队列、cron、幂等去重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队列满返回 EM-9002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EmFormulaEval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工具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Axon 表达式编译与求值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沙箱内执行，禁止 IO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EmRestMod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接口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路由、鉴权、序列化、错误映射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所有写接口校验幂等键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EmHandler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接口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业务域处理器基类，分页与权限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require 未通过抛 EM-2001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EmAxonFuncs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接口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Axon 函数库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与 REST 共享引擎实现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EmPrincipal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工具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身份、角色与站点范围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siteScope 为空即拒绝所有查询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EmError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工具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错误码、消息与 HTTP 状态映射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对外不暴露堆栈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EmAudit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工具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操作审计写入与查询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关账、红冲、费率变更强制审计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EmExportSvc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接口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账单与碳账外推，签名与重试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幂等键为业务单号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3-1  类职责说明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3.5  任务调度与事务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800"/>
        <w:gridCol w:w="2160"/>
        <w:gridCol w:w="5040"/>
      </w:tblGrid>
      <w:tr>
        <w:trPr>
          <w:tblHeader/>
        </w:trPr>
        <w:tc>
          <w:tcPr>
            <w:tcW w:type="dxa" w:w="18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任务</w:t>
            </w:r>
          </w:p>
        </w:tc>
        <w:tc>
          <w:tcPr>
            <w:tcW w:type="dxa" w:w="21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Cron 表达式</w:t>
            </w:r>
          </w:p>
        </w:tc>
        <w:tc>
          <w:tcPr>
            <w:tcW w:type="dxa" w:w="50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日台账生成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0 10 1 * * *</w:t>
            </w:r>
          </w:p>
        </w:tc>
        <w:tc>
          <w:tcPr>
            <w:tcW w:type="dxa" w:w="5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每日 01:10 生成前一日 daily 条目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结算表小时台账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0 5 * * * *</w:t>
            </w:r>
          </w:p>
        </w:tc>
        <w:tc>
          <w:tcPr>
            <w:tcW w:type="dxa" w:w="50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每小时第 5 分钟生成结算表 hourly 条目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诊断规则执行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0 15 1 * * *</w:t>
            </w:r>
          </w:p>
        </w:tc>
        <w:tc>
          <w:tcPr>
            <w:tcW w:type="dxa" w:w="5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每日 01:15，紧随台账生成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月度关账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手工触发</w:t>
            </w:r>
          </w:p>
        </w:tc>
        <w:tc>
          <w:tcPr>
            <w:tcW w:type="dxa" w:w="50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由能源经理在前端发起，不自动关账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账单生成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0 30 2 1 * *</w:t>
            </w:r>
          </w:p>
        </w:tc>
        <w:tc>
          <w:tcPr>
            <w:tcW w:type="dxa" w:w="5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每月 1 日 02:30，前置校验上月已关账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碳账计算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0 45 2 1 * *</w:t>
            </w:r>
          </w:p>
        </w:tc>
        <w:tc>
          <w:tcPr>
            <w:tcW w:type="dxa" w:w="50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每月 1 日 02:45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基线重拟合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0 0 3 1 1,7 *</w:t>
            </w:r>
          </w:p>
        </w:tc>
        <w:tc>
          <w:tcPr>
            <w:tcW w:type="dxa" w:w="5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每半年一次，结果需人工确认后生效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外推重试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onHouseKeeping</w:t>
            </w:r>
          </w:p>
        </w:tc>
        <w:tc>
          <w:tcPr>
            <w:tcW w:type="dxa" w:w="50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 10 分钟扫描失败队列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3-2  调度任务清单</w:t>
      </w:r>
    </w:p>
    <w:tbl>
      <w:tblPr>
        <w:tblW w:type="dxa" w:w="9000"/>
        <w:tblBorders>
          <w:top w:val="single" w:color="C9D6E0" w:sz="4"/>
          <w:left w:val="single" w:color="C49A2E" w:sz="2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CF8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C49A2E"/>
                <w:sz w:val="19"/>
                <w:szCs w:val="19"/>
              </w:rPr>
              <w:t xml:space="preserve">事务边界</w:t>
            </w:r>
          </w:p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color w:val="1F2933"/>
                <w:sz w:val="20"/>
                <w:szCs w:val="20"/>
              </w:rPr>
              <w:t xml:space="preserve">Folio 无跨 rec 事务，关账的原子性由 EmCloseTx 在应用层保证：每批 2000 条提交，记录批次游标；任一步骤失败时，已提交批次不做物理删除，而是逐批生成红冲条目撤销，并将 EmClosePeriod 标记为 failed。这与红冲机制一致，保证任何中间态都可审计。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3.6  异常与错误码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所有异常统一收敛为 EmError，携带错误码、面向用户的消息、结构化明细与 HTTP 状态。对外响应不暴露 Fantom 堆栈，堆栈只写入服务端日志。完整错误码见附录 A。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"error":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"code": "EM-3002",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"msg": "缺口率 6.37% 超过阈值 5%，关账已阻断",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"detail":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"gapRatio": 0.0637,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"limit": 0.05,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"unbalanced": ["M-B1-01", "M-D2-01"]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4  数据接口设计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4.1  接口总则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440"/>
        <w:gridCol w:w="7560"/>
      </w:tblGrid>
      <w:tr>
        <w:trPr>
          <w:tblHeader/>
        </w:trPr>
        <w:tc>
          <w:tcPr>
            <w:tcW w:type="dxa" w:w="14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项</w:t>
            </w:r>
          </w:p>
        </w:tc>
        <w:tc>
          <w:tcPr>
            <w:tcW w:type="dxa" w:w="75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约定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基址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https://{host}/api/em/v1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鉴权</w:t>
            </w:r>
          </w:p>
        </w:tc>
        <w:tc>
          <w:tcPr>
            <w:tcW w:type="dxa" w:w="75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复用 FIN 会话 Cookie 或 Bearer Token，不另建认证体系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内容类型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application/json; charset=utf-8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时间格式</w:t>
            </w:r>
          </w:p>
        </w:tc>
        <w:tc>
          <w:tcPr>
            <w:tcW w:type="dxa" w:w="75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ISO 8601 带时区，如 2026-07-01T00:00:00+08:00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账期参数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span=2026-07 或 span=2026-07-01..2026-08-01，左闭右开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分页</w:t>
            </w:r>
          </w:p>
        </w:tc>
        <w:tc>
          <w:tcPr>
            <w:tcW w:type="dxa" w:w="75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?page=1&amp;limit=200，响应头返回 X-Total-Count，limit 上限 1000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幂等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写接口必带 Idempotency-Key 头，24 小时内重复键返回原结果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排序</w:t>
            </w:r>
          </w:p>
        </w:tc>
        <w:tc>
          <w:tcPr>
            <w:tcW w:type="dxa" w:w="75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?sort=-ts,val，减号表示降序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版本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路径内 v1；不兼容变更升版本，兼容变更只增字段不改语义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错误</w:t>
            </w:r>
          </w:p>
        </w:tc>
        <w:tc>
          <w:tcPr>
            <w:tcW w:type="dxa" w:w="75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HTTP 状态 + error 对象，见 3.6 节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4-1  接口总则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4.2  REST 接口清单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720"/>
        <w:gridCol w:w="2340"/>
        <w:gridCol w:w="4320"/>
        <w:gridCol w:w="1620"/>
      </w:tblGrid>
      <w:tr>
        <w:trPr>
          <w:tblHeader/>
        </w:trPr>
        <w:tc>
          <w:tcPr>
            <w:tcW w:type="dxa" w:w="7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23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43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  <w:tc>
          <w:tcPr>
            <w:tcW w:type="dxa" w:w="16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权限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/meters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计量对象列表，支持按角色、介质、分项筛选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/meters/{id}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计量对象详情，含 Xeto spec 与点位配置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/meters/{id}/tree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以该表为根的 submeterOf 子树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/meters/{id}/quality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指定账期的数据完好率与断点明细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/meters/import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点表批量导入，返回校验结果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/ledger/entries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台账流水查询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/ledger/build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生成指定账期台账条目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em:calc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/ledger/close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关账，执行四步骤与缺口率闸门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em:close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/ledger/reverse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红冲指定条目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em:close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/ledger/periods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关账批次列表，含缺口率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/ledger/gap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缺口分析，返回未平衡表计清单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/alloc/rules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分摊规则列表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/alloc/rules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新建分摊规则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PUT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/alloc/rules/{id}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修改规则，自动创建新版本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/alloc/run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执行分摊，支持 dryRun 预览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em:calc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/tariffs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费率方案列表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/tariffs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新建费率，emSourceDoc 必填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/bills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账单列表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/bills/{id}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账单详情，含逐项 ledgerRefs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/bills/generate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生成账单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/bills/{id}/issue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开具账单，触发外推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/kpi/definitions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指标定义列表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/kpi/values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指标时序值查询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/kpi/calc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触发指标计算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em:calc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/kpi/quotas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定额列表与执行进度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/mv/baselines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基线列表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/mv/baselines/{id}/fit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基线拟合，返回统计验收结果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em:mv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/mv/projects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节能措施列表，含三态节能量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/mv/projects/{id}/verify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节能量核证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em:mv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/carbon/accounts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碳账目查询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/carbon/calc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碳账计算并锁定因子版本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em:calc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/carbon/factors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排放因子列表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/carbon/factors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新增因子，emSourceDoc 必填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/diag/anomalies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诊断事件列表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/diag/anomalies/{id}/ack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确认事件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em:ops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/diag/workorders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创建工单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em:ops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/jobs/{id}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长任务进度查询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4-2  REST 接口清单（37 项）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4.3  关键接口定义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E2A47"/>
          <w:sz w:val="22"/>
          <w:szCs w:val="22"/>
        </w:rPr>
        <w:t xml:space="preserve">4.3.1  关账  POST /ledger/close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Request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POST /api/em/v1/ledger/close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Idempotency-Key: 3f2a9c1e-...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"siteRef": "@p:demo:r:2b8c-site",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"span": "2026-07",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"granularity": "monthly",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"gapLimit": 0.05,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"dryRun": false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Response 200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"closePeriodId": "@p:demo:r:9a11-close",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"span": "2026-07",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"entryCount": 99000,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"gapRatio": 0.0397,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"gapVal": 77000,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"unit": "kWh",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"closedBy": "jack",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"closedAt": "2026-08-01T02:14:33+08:00",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"elapsedMs": 58210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Response 409  缺口率超限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 "error": { "code": "EM-3002", ... } }   // 见 3.6 节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E2A47"/>
          <w:sz w:val="22"/>
          <w:szCs w:val="22"/>
        </w:rPr>
        <w:t xml:space="preserve">4.3.2  台账流水  GET /ledger/entries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GET /api/em/v1/ledger/entries?span=2026-07&amp;subItem=B1&amp;limit=200&amp;sort=-val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Response 200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"total": 4,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"rows": [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"id": "@p:demo:r:L-2607-0143",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"meterRef": "@p:demo:r:M-B1-01",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"meterDis": "冷热站总表",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"mediumId": "elec",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"subItem": "b1",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"span": "2026-07-01..2026-08-01",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"granularity": "monthly",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"val": 612000,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"unit": "kWh",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"dataSource": "measured",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"quality": 1.0,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"closed": true,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"reversalOf": null,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"ruleRef": null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E2A47"/>
          <w:sz w:val="22"/>
          <w:szCs w:val="22"/>
        </w:rPr>
        <w:t xml:space="preserve">4.3.3  红冲  POST /ledger/reverse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POST /api/em/v1/ledger/reverse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 "entryId": "@p:demo:r:L-2607-0151", "reason": "完好率 64.1%，补采后重录" 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Response 200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"reversalId": "@p:demo:r:L-2607-0152",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"originId": "@p:demo:r:L-2607-0151",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"val": -96400,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"note": "原条目保留不删，等待以实测重录"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E2A47"/>
          <w:sz w:val="22"/>
          <w:szCs w:val="22"/>
        </w:rPr>
        <w:t xml:space="preserve">4.3.4  节能量核证  POST /mv/projects/{id}/verify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Response 200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"projectId": "@p:demo:r:ecm-coolplant",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"ipmvpOption": "optionC",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"baselineValid": true,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"stats": { "r2": 0.93, "cvRmse": 0.084, "nmbe": 0.012 },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"savingsPlanned": 186000,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"savingsMeasured": 92400,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"savingsVerified": 78600,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"unit": "kWh",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"verifyStatus": "verified",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"verifiedAt": "2026-08-05T10:02:11+08:00"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C9D6E0" w:sz="4"/>
          <w:left w:val="single" w:color="C49A2E" w:sz="2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CF8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C49A2E"/>
                <w:sz w:val="19"/>
                <w:szCs w:val="19"/>
              </w:rPr>
              <w:t xml:space="preserve">接口约束</w:t>
            </w:r>
          </w:p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color w:val="1F2933"/>
                <w:sz w:val="20"/>
                <w:szCs w:val="20"/>
              </w:rPr>
              <w:t xml:space="preserve">凡返回 savings 相关字段的接口，必须同时返回 verifyStatus。前端与第三方在 verifyStatus 不等于 verified 时，一律以“规划目标”标注展示，禁止以节能量口径呈现。该约束在接口契约层强制，不依赖调用方自觉。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4.4  Axon 函数库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800"/>
        <w:gridCol w:w="3960"/>
        <w:gridCol w:w="3240"/>
      </w:tblGrid>
      <w:tr>
        <w:trPr>
          <w:tblHeader/>
        </w:trPr>
        <w:tc>
          <w:tcPr>
            <w:tcW w:type="dxa" w:w="18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函数</w:t>
            </w:r>
          </w:p>
        </w:tc>
        <w:tc>
          <w:tcPr>
            <w:tcW w:type="dxa" w:w="39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签名</w:t>
            </w:r>
          </w:p>
        </w:tc>
        <w:tc>
          <w:tcPr>
            <w:tcW w:type="dxa" w:w="32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emLedgerBuild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(span, opts: {siteRef, granularity}) → Grid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生成台账条目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emClosePeriod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(span, opts: {gapLimit}) → Dict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执行关账四步骤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emReverse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(entryId: Ref, reason: Str) → Dict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红冲条目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emGapReport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(siteRef: Ref, span) → Grid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缺口分析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emAllocRun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(span, opts: {ruleId, dryRun}) → Grid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执行分摊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emAllocPreview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(ruleId: Ref, span) → Grid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分摊预览，不落库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emBillGen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(payerRef: Ref, span) → Dict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生成账单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emTariffApply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(entries: Grid, tariffId: Ref) → Grid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对给定条目试算电费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emKpiCalc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(kpiId: Ref, subjectRef: Ref, span) → Grid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指标计算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emQuotaCheck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(quotaId: Ref) → Dict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定额进度校验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emBaselineFit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(baselineId: Ref) → Dict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基线拟合与统计验收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emBaselinePredict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(baselineId: Ref, vars: Dict) → Number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基线预测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emSavingsVerify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(projectId: Ref) → Dict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节能量核证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emCarbonCalc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(subjectRef: Ref, span) → Dict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碳账计算并锁定因子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emFactorLock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(span) → Grid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返回本期锁定的因子版本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emDiagRun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(span, opts: {ruleId}) → Grid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执行诊断规则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emAnomalyAck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(anomalyId: Ref, note: Str) → Dict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确认事件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emMeterTree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(rootRef: Ref) → Grid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返回计量子树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emLedgerQuery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(siteRef, span, dim) → Grid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台账多维聚合查询，dim 取 meter 时供能流图取值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emMeterQuality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(meterRef: Ref, span) → Dict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数据完好率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emExportPush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(target: Str, span) → Dict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手工触发外推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>表 4-3  Axon 函数库（21 项）</w:t>
      </w:r>
    </w:p>
    <w:p>
      <w:r>
        <w:t>能流图（Sankey，V0.1.1 新增，见 5.3）数据契约：结构取自 emMeterTree（列：id、dis、emMedium、emMeterRole、submeterOf、emDepth、emVirtual、emGap、emChildCount），数值取自 emLedgerQuery（dim 取 meter）。只读，不新增 Axon 函数、不新增后端接口。</w:t>
      </w:r>
    </w:p>
    <w:p>
      <w:r>
        <w:t>KPI 考核（V0.1.2 新增，见 5.3）数据契约：指标定义取自 emKpiDefs()（emKpiCode、dis、emFormula、unit、emGranularity、emDimension、emHigherIsBetter、emStandardRef），数值批量取自 emKpiComputeAll(kpiCode, [subjectRef...], span)（emFormula 走 Axon 求值，分母缺失返回 null 不当 0），定额进度取自 emQuotas(subjectRef) 与 emQuotaProgressAll(subjectRef, span)。站点考核参数（area、emCoolArea、emOccupancy、emBeds）由模型配置屏经通用写接口 emEntityUpdate(entityId, changes) 维护（admin、枚举校验、留审计）。KPI 屏只读，不新增 Axon 函数、不新增后端接口。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4.5  Haystack Ops 约定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读取类需求一律复用 Haystack 标准 Ops，不另建接口。本 Pod 只新增两个自定义 Op，用于前端一次性获取结构化结果。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620"/>
        <w:gridCol w:w="1080"/>
        <w:gridCol w:w="6300"/>
      </w:tblGrid>
      <w:tr>
        <w:trPr>
          <w:tblHeader/>
        </w:trPr>
        <w:tc>
          <w:tcPr>
            <w:tcW w:type="dxa" w:w="16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Op</w:t>
            </w:r>
          </w:p>
        </w:tc>
        <w:tc>
          <w:tcPr>
            <w:tcW w:type="dxa" w:w="10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63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read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标准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按 filter 查询 rec，如 emLedger and span=="2026-07"</w:t>
            </w:r>
          </w:p>
        </w:tc>
      </w:tr>
      <w:tr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hisRead</w:t>
            </w:r>
          </w:p>
        </w:tc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标准</w:t>
            </w:r>
          </w:p>
        </w:tc>
        <w:tc>
          <w:tcPr>
            <w:tcW w:type="dxa" w:w="63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读取 L1 累积读数与 L3 指标点历史</w:t>
            </w:r>
          </w:p>
        </w:tc>
      </w:tr>
      <w:tr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eval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标准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执行 Axon 表达式，供高级用户与规则引擎使用</w:t>
            </w:r>
          </w:p>
        </w:tc>
      </w:tr>
      <w:tr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emLedgerQuery</w:t>
            </w:r>
          </w:p>
        </w:tc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自定义</w:t>
            </w:r>
          </w:p>
        </w:tc>
        <w:tc>
          <w:tcPr>
            <w:tcW w:type="dxa" w:w="63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带分页、多维筛选与汇总的台账查询，避免前端多次 read</w:t>
            </w:r>
          </w:p>
        </w:tc>
      </w:tr>
      <w:tr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emCloseStatus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自定义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返回指定站点各账期关账状态与缺口率，供前端顶栏状态灯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4-4  Haystack Ops 约定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4.6  外部系统集成接口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720"/>
        <w:gridCol w:w="1620"/>
        <w:gridCol w:w="3960"/>
        <w:gridCol w:w="2700"/>
      </w:tblGrid>
      <w:tr>
        <w:trPr>
          <w:tblHeader/>
        </w:trPr>
        <w:tc>
          <w:tcPr>
            <w:tcW w:type="dxa" w:w="7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方向</w:t>
            </w:r>
          </w:p>
        </w:tc>
        <w:tc>
          <w:tcPr>
            <w:tcW w:type="dxa" w:w="16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对方系统</w:t>
            </w:r>
          </w:p>
        </w:tc>
        <w:tc>
          <w:tcPr>
            <w:tcW w:type="dxa" w:w="39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协议与内容</w:t>
            </w:r>
          </w:p>
        </w:tc>
        <w:tc>
          <w:tcPr>
            <w:tcW w:type="dxa" w:w="27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触发与重试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入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现场表计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Modbus RTU/TCP、BACnet、M-Bus、OPC UA，经 FIN 连接器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按连接器轮询周期，默认 15 分钟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入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阿里云 IoT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aliiotExt，MQTT 订阅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实时推送，断连由连接器重连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入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第三方 IoT 平台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HTTP 轮询或 MQTT，经专用连接器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按平台约定，默认 5 分钟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入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ERP 租户主数据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REST 拉取，每日 03:00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失败重试 3 次，失败保留上次快照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出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物业收费系统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REST 推送账单，HMAC-SHA256 签名，幂等键为账单号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账单开具时触发，重试 3 次，退避 5s/25s/125s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出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集团碳管理平台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REST 推送碳账目，含因子版本号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碳账计算完成后触发，同上重试策略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出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大屏与第三方 BI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只读 REST 或 Haystack Ops，独立只读账号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调用方自行拉取，限流 60 次/分钟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4-5  外部系统集成接口</w:t>
      </w:r>
    </w:p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5  前端设计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5.1  工程结构与分层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前端分四层：基础层提供设计令牌、接口客户端、权限守卫与缓存；图表原语层是自研 SVG 组件，不依赖第三方图表库；业务组件层按域组织；路由层只负责装配。业务组件不直接调用 fetch，一律经 ApiClient。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5-1  前端分层与路由骨架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ui/src/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tokens/         # 色板、字阶、间距、阴影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api/            # ApiClient、错误码映射、类型定义（由 Xeto 生成）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auth/           # AuthGuard、PermGate、角色上下文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cache/          # QueryCache，按 站点 + 账期 维度失效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charts/         # Sankey、TreeDag、ScatterRegression、StackedBar、BarMeter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features/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overview/  topology/  ledger/  billing/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kpi/       mv/        carbon/  diagnostics/  settings/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routes/         # 路由表与懒加载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App.tsx</w:t>
            </w:r>
          </w:p>
        </w:tc>
      </w:tr>
    </w:tbl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5.2  路由骨架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>路由以 /em 为前缀，十个一级模块，二级路由承载详情与子视图。全量清单见附录 B。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/em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/overview                        能源总览（默认路由）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/topology                        计量拓扑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/:meterId                      表计详情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/ledger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/entries                       台账流水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/close                         关账闸门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/gap                           缺口分析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/billing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/tariffs        /tariffs/:id   费率方案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/alloc-rules    /alloc-rules/:id 分摊规则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/bills          /bills/:id     账单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/kpi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/indicators     /quotas        指标与定额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/mv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/baselines/:id  /projects/:id  基线与节能措施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/carbon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/accounts  /factors  /certs    碳账、因子、绿证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/diagnostics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/anomalies  /workorders        事件与工单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/settings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/meters-import  /permissions  /schedules /flow 能流图（Sankey）</w:t>
            </w:r>
          </w:p>
          <w:p>
            <w:pPr>
              <w:spacing w:after="0" w:before="0" w:line="250"/>
            </w:pPr>
            <w:r>
              <w:t>/kpi                         KPI 考核（核心指标 + 定额进度）</w:t>
            </w:r>
          </w:p>
        </w:tc>
      </w:tr>
    </w:tbl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5.3  模块功能说明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080"/>
        <w:gridCol w:w="2700"/>
        <w:gridCol w:w="1440"/>
        <w:gridCol w:w="3780"/>
      </w:tblGrid>
      <w:tr>
        <w:trPr>
          <w:tblHeader/>
        </w:trPr>
        <w:tc>
          <w:tcPr>
            <w:tcW w:type="dxa" w:w="10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模块</w:t>
            </w:r>
          </w:p>
        </w:tc>
        <w:tc>
          <w:tcPr>
            <w:tcW w:type="dxa" w:w="27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核心功能</w:t>
            </w:r>
          </w:p>
        </w:tc>
        <w:tc>
          <w:tcPr>
            <w:tcW w:type="dxa" w:w="14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写操作</w:t>
            </w:r>
          </w:p>
        </w:tc>
        <w:tc>
          <w:tcPr>
            <w:tcW w:type="dxa" w:w="37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关键呈现约束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能源总览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能流桑基、分项下钻、多介质用量、缺口告警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无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缺口以独立断流呈现，不并入任一分项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能流图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能源流向 Sankey、按介质分色、缺口断流汇入不明用能、tooltip 表计名与能耗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无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流向宽度取 L2 台账合计；考核表不参与汇总；空台账给引导不白屏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KPI 考核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核心指标卡（单位面积能耗/电耗、人均能耗/水耗、单位床位能耗、碳强度）、定额进度对标、绿色医院评审数据支撑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无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分母缺失显示「—」并引导至模型配置屏；参数可配置（emBeds 等站点属性）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计量拓扑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submeterOf 树、表计详情、数据完好率、虚表公式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无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虚表与物理表视觉可区分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台账与关账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流水查询、关账闸门、红冲、缺口分析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关账、红冲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缺口率未达标时关账按钮禁用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计费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费率维护、分摊规则、账单生成与开具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费率、规则、账单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费率无依据文号不允许保存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指标与定额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指标看板、对标排名、定额进度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定额下达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不同定额来源分色标注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基线与核证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基线拟合、统计验收、节能量三态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拟合、核证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未核证节能量必须标注为规划目标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碳资产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Scope 构成、因子版本锁、绿证抵消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因子、绿证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因子来源文号随值展示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诊断与工单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事件流、确认、派单、转措施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确认、派单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估算影响量标注为估算，不进账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系统设置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点表导入、权限、调度计划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全部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点表导入先校验后落库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5-1  模块功能说明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5.4  数据获取与缓存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440"/>
        <w:gridCol w:w="2700"/>
        <w:gridCol w:w="4860"/>
      </w:tblGrid>
      <w:tr>
        <w:trPr>
          <w:tblHeader/>
        </w:trPr>
        <w:tc>
          <w:tcPr>
            <w:tcW w:type="dxa" w:w="14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数据类别</w:t>
            </w:r>
          </w:p>
        </w:tc>
        <w:tc>
          <w:tcPr>
            <w:tcW w:type="dxa" w:w="27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获取方式</w:t>
            </w:r>
          </w:p>
        </w:tc>
        <w:tc>
          <w:tcPr>
            <w:tcW w:type="dxa" w:w="48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缓存策略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已关账台账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GET /ledger/entries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长缓存，按 站点+账期 键，关账后不再变化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未关账台账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GET /ledger/entries</w:t>
            </w:r>
          </w:p>
        </w:tc>
        <w:tc>
          <w:tcPr>
            <w:tcW w:type="dxa" w:w="48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短缓存 60 秒，页面聚焦时重新拉取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计量树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GET /meters/{id}/tree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会话级缓存，点表变更时手工失效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指标时序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GET /kpi/values</w:t>
            </w:r>
          </w:p>
        </w:tc>
        <w:tc>
          <w:tcPr>
            <w:tcW w:type="dxa" w:w="48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按指标加对象加账期缓存，5 分钟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长任务进度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GET /jobs/{id}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不缓存，2 秒轮询，任务结束即停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诊断事件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GET /diag/anomalies</w:t>
            </w:r>
          </w:p>
        </w:tc>
        <w:tc>
          <w:tcPr>
            <w:tcW w:type="dxa" w:w="48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不缓存，30 秒轮询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5-2  数据获取与缓存策略</w:t>
      </w:r>
    </w:p>
    <w:p>
      <w:r>
        <w:t>能流图前端取数契约（emApi 薄封装，V0.1.1）：emMeterTree(siteRef) 取结构、emLedgerAggregate(siteRef, span, "meter") 取量值，mobx Store 内合并后经纯函数 buildSankey 转为 recharts Sankey 的 {nodes, links}。</w:t>
      </w:r>
    </w:p>
    <w:p>
      <w:r>
        <w:t>KPI 考核前端取数契约（emApi 薄封装，V0.1.2）：emKpiDefs() 取指标定义、emKpiComputeAll(code, [site], span) 批量取值、emQuotaProgressAll(site, span) 取定额进度；分母缺失的指标显示「—」不当 0。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5.5  角色与权限矩阵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2340"/>
        <w:gridCol w:w="1260"/>
        <w:gridCol w:w="1260"/>
        <w:gridCol w:w="1440"/>
        <w:gridCol w:w="1440"/>
        <w:gridCol w:w="1260"/>
      </w:tblGrid>
      <w:tr>
        <w:trPr>
          <w:tblHeader/>
        </w:trPr>
        <w:tc>
          <w:tcPr>
            <w:tcW w:type="dxa" w:w="23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模块</w:t>
            </w:r>
          </w:p>
        </w:tc>
        <w:tc>
          <w:tcPr>
            <w:tcW w:type="dxa" w:w="12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查看者</w:t>
            </w:r>
          </w:p>
        </w:tc>
        <w:tc>
          <w:tcPr>
            <w:tcW w:type="dxa" w:w="12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运维</w:t>
            </w:r>
          </w:p>
        </w:tc>
        <w:tc>
          <w:tcPr>
            <w:tcW w:type="dxa" w:w="14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计费专员</w:t>
            </w:r>
          </w:p>
        </w:tc>
        <w:tc>
          <w:tcPr>
            <w:tcW w:type="dxa" w:w="14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能源经理</w:t>
            </w:r>
          </w:p>
        </w:tc>
        <w:tc>
          <w:tcPr>
            <w:tcW w:type="dxa" w:w="12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管理员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能源总览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计量拓扑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台账流水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关账与红冲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费率与分摊规则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指标与定额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基线与核证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碳资产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诊断与工单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系统设置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5-3  角色与权限矩阵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权限点与后端 em:read、em:ops、em:bill、em:calc、em:close、em:mv、em:admin 一一对应。前端 PermGate 仅负责隐藏入口，所有校验以后端 EmHandler.require 为准。</w:t>
      </w:r>
    </w:p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6  关键流程时序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6.1  台账生成与关账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关账是本系统最重的一次写操作，四个步骤严格串行，第四步的缺口率闸门是唯一的阻断点。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6-1  台账生成与关账时序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6.2  分摊执行与红冲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分摊默认先以 dryRun 预览，确认后再落库。已关账条目发现错误时走红冲，未关账条目直接重算，二者在接口层区分，避免误用。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678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6-2  分摊执行与红冲时序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6.3  账单生成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账单生成有两道前置校验：账期必须已关账，费率必须有依据文件号。外推采用幂等键加指数退避重试。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583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6-3  账单生成时序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6.4  基线拟合与核证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基线未通过 ASHRAE Guideline 14 统计验收时，emValid 置假，引用该基线的核证请求一律拒绝，节能量保持规划目标状态。</w:t>
      </w:r>
    </w:p>
    <w:p>
      <w:pPr>
        <w:spacing w:after="40" w:before="120"/>
        <w:jc w:val="center"/>
      </w:pPr>
      <w:r>
        <w:drawing>
          <wp:inline distT="0" distB="0" distL="0" distR="0">
            <wp:extent cx="5448300" cy="704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6-4  基线拟合与节能量核证时序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6.5  诊断到工单闭环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诊断引擎只产生事件。跨产品的控制策略调整由人工在 CoolMatrix 侧发起，energyMatrix 不写任何控制点。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553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6-5  诊断触发到工单闭环时序</w:t>
      </w:r>
    </w:p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7  非功能设计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7.1  容量估算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以下估算基于典型商业综合体规模假设，用于确定台账落库粒度（对应上游文档待决事项 OI-01）与硬件选型。所有数值为按公式推算的工程估算值，需在集成测试阶段以实测压测结果修正。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2340"/>
        <w:gridCol w:w="2160"/>
        <w:gridCol w:w="4500"/>
      </w:tblGrid>
      <w:tr>
        <w:trPr>
          <w:tblHeader/>
        </w:trPr>
        <w:tc>
          <w:tcPr>
            <w:tcW w:type="dxa" w:w="23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参数</w:t>
            </w:r>
          </w:p>
        </w:tc>
        <w:tc>
          <w:tcPr>
            <w:tcW w:type="dxa" w:w="21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取值</w:t>
            </w:r>
          </w:p>
        </w:tc>
        <w:tc>
          <w:tcPr>
            <w:tcW w:type="dxa" w:w="45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来源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计量表计数 N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1,500 只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假设，按 18.6 万平方米综合体典型配置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平均点位数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6 点/表</w:t>
            </w:r>
          </w:p>
        </w:tc>
        <w:tc>
          <w:tcPr>
            <w:tcW w:type="dxa" w:w="45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假设，电表 9 点、水气表 2 点加权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采样周期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15 分钟 = 96 次/日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点位规范默认值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结算表占比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5%（75 只）</w:t>
            </w:r>
          </w:p>
        </w:tc>
        <w:tc>
          <w:tcPr>
            <w:tcW w:type="dxa" w:w="45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假设，关口表加结算子表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7-1  容量估算输入假设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2340"/>
        <w:gridCol w:w="3060"/>
        <w:gridCol w:w="3600"/>
      </w:tblGrid>
      <w:tr>
        <w:trPr>
          <w:tblHeader/>
        </w:trPr>
        <w:tc>
          <w:tcPr>
            <w:tcW w:type="dxa" w:w="23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项</w:t>
            </w:r>
          </w:p>
        </w:tc>
        <w:tc>
          <w:tcPr>
            <w:tcW w:type="dxa" w:w="30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计算式</w:t>
            </w:r>
          </w:p>
        </w:tc>
        <w:tc>
          <w:tcPr>
            <w:tcW w:type="dxa" w:w="36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结果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历史记录写入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1,500 × 6 × 96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864,000 条/日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历史记录年量</w:t>
            </w:r>
          </w:p>
        </w:tc>
        <w:tc>
          <w:tcPr>
            <w:tcW w:type="dxa" w:w="30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864,000 × 365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3.15 亿条/年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历史存储年增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864,000 × 24 B × 365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约 7.6 GB/年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台账 · 全量 hourly</w:t>
            </w:r>
          </w:p>
        </w:tc>
        <w:tc>
          <w:tcPr>
            <w:tcW w:type="dxa" w:w="30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1,500 × 24 × 30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1,080,000 条/月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台账 · 全量 daily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1,500 × 30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45,000 条/月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台账 · 结算表 hourly</w:t>
            </w:r>
          </w:p>
        </w:tc>
        <w:tc>
          <w:tcPr>
            <w:tcW w:type="dxa" w:w="30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75 × 24 × 30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54,000 条/月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台账 · 混合策略合计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45,000 + 54,000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99,000 条/月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混合与全量 hourly 之比</w:t>
            </w:r>
          </w:p>
        </w:tc>
        <w:tc>
          <w:tcPr>
            <w:tcW w:type="dxa" w:w="30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99,000 ÷ 1,080,000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9.2%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7-2  容量估算结果</w:t>
      </w:r>
    </w:p>
    <w:tbl>
      <w:tblPr>
        <w:tblW w:type="dxa" w:w="9000"/>
        <w:tblBorders>
          <w:top w:val="single" w:color="C9D6E0" w:sz="4"/>
          <w:left w:val="single" w:color="0E7C86" w:sz="2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EEF6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E7C86"/>
                <w:sz w:val="19"/>
                <w:szCs w:val="19"/>
              </w:rPr>
              <w:t xml:space="preserve">OI-01 结论</w:t>
            </w:r>
          </w:p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color w:val="1F2933"/>
                <w:sz w:val="20"/>
                <w:szCs w:val="20"/>
              </w:rPr>
              <w:t xml:space="preserve">采用混合策略：全部表计按 daily 粒度落台账，结算类表计（gateway 与 settlement）额外按 hourly 落台账，小时级明细统一保留在历史库不入账。台账条目量降至全量 hourly 方案的 9.2%，约 119 万条/年，Folio 可控。该结论为规划取值，待压测验证后固化。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7.2  性能目标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440"/>
        <w:gridCol w:w="1980"/>
        <w:gridCol w:w="1800"/>
        <w:gridCol w:w="3780"/>
      </w:tblGrid>
      <w:tr>
        <w:trPr>
          <w:tblHeader/>
        </w:trPr>
        <w:tc>
          <w:tcPr>
            <w:tcW w:type="dxa" w:w="14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场景</w:t>
            </w:r>
          </w:p>
        </w:tc>
        <w:tc>
          <w:tcPr>
            <w:tcW w:type="dxa" w:w="19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规模</w:t>
            </w:r>
          </w:p>
        </w:tc>
        <w:tc>
          <w:tcPr>
            <w:tcW w:type="dxa" w:w="18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目标</w:t>
            </w:r>
          </w:p>
        </w:tc>
        <w:tc>
          <w:tcPr>
            <w:tcW w:type="dxa" w:w="37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依据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月度关账</w:t>
            </w:r>
          </w:p>
        </w:tc>
        <w:tc>
          <w:tcPr>
            <w:tcW w:type="dxa" w:w="1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99,000 条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P95 ≤ 90 秒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按单条 0.6 ms 估算约 59 秒，预留 50% 余量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台账查询</w:t>
            </w:r>
          </w:p>
        </w:tc>
        <w:tc>
          <w:tcPr>
            <w:tcW w:type="dxa" w:w="19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单页 200 条</w:t>
            </w:r>
          </w:p>
        </w:tc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P95 ≤ 500 ms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带索引 Folio 查询经验值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总览页首屏</w:t>
            </w:r>
          </w:p>
        </w:tc>
        <w:tc>
          <w:tcPr>
            <w:tcW w:type="dxa" w:w="1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桑基加四张指标板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P95 ≤ 1.5 秒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已关账数据走长缓存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基线拟合</w:t>
            </w:r>
          </w:p>
        </w:tc>
        <w:tc>
          <w:tcPr>
            <w:tcW w:type="dxa" w:w="19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12 个月样本</w:t>
            </w:r>
          </w:p>
        </w:tc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≤ 10 秒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回归本地计算；gbdt 走 ONNX 推理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诊断全量执行</w:t>
            </w:r>
          </w:p>
        </w:tc>
        <w:tc>
          <w:tcPr>
            <w:tcW w:type="dxa" w:w="1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1,500 只表 × 8 类规则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≤ 5 分钟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夜间窗口执行，不与交互争抢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接口并发</w:t>
            </w:r>
          </w:p>
        </w:tc>
        <w:tc>
          <w:tcPr>
            <w:tcW w:type="dxa" w:w="19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50 并发只读</w:t>
            </w:r>
          </w:p>
        </w:tc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错误率 &lt; 0.1%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单中心节点，超出走限流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7-3  性能目标（规划值，待压测验证）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7.3  可用性与故障恢复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620"/>
        <w:gridCol w:w="1800"/>
        <w:gridCol w:w="5580"/>
      </w:tblGrid>
      <w:tr>
        <w:trPr>
          <w:tblHeader/>
        </w:trPr>
        <w:tc>
          <w:tcPr>
            <w:tcW w:type="dxa" w:w="16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故障场景</w:t>
            </w:r>
          </w:p>
        </w:tc>
        <w:tc>
          <w:tcPr>
            <w:tcW w:type="dxa" w:w="18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影响</w:t>
            </w:r>
          </w:p>
        </w:tc>
        <w:tc>
          <w:tcPr>
            <w:tcW w:type="dxa" w:w="55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处置</w:t>
            </w:r>
          </w:p>
        </w:tc>
      </w:tr>
      <w:tr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边缘与中心断连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中心侧数据滞后</w:t>
            </w:r>
          </w:p>
        </w:tc>
        <w:tc>
          <w:tcPr>
            <w:tcW w:type="dxa" w:w="55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边缘本地 Folio 缓存 7 天，恢复后按时间序补传，台账重算幂等</w:t>
            </w:r>
          </w:p>
        </w:tc>
      </w:tr>
      <w:tr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中心节点宕机</w:t>
            </w:r>
          </w:p>
        </w:tc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接口不可用</w:t>
            </w:r>
          </w:p>
        </w:tc>
        <w:tc>
          <w:tcPr>
            <w:tcW w:type="dxa" w:w="55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ECS 快照恢复，Folio 每日快照 + 增量日志，RPO ≤ 1 小时，RTO ≤ 2 小时</w:t>
            </w:r>
          </w:p>
        </w:tc>
      </w:tr>
      <w:tr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关账中途失败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账期处于中间态</w:t>
            </w:r>
          </w:p>
        </w:tc>
        <w:tc>
          <w:tcPr>
            <w:tcW w:type="dxa" w:w="55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已提交批次逐批红冲撤销，EmClosePeriod 标记 failed，可重新发起</w:t>
            </w:r>
          </w:p>
        </w:tc>
      </w:tr>
      <w:tr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外推目标不可用</w:t>
            </w:r>
          </w:p>
        </w:tc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账单未送达</w:t>
            </w:r>
          </w:p>
        </w:tc>
        <w:tc>
          <w:tcPr>
            <w:tcW w:type="dxa" w:w="55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进入重试队列，房务任务每 10 分钟重推，超过 24 小时告警</w:t>
            </w:r>
          </w:p>
        </w:tc>
      </w:tr>
      <w:tr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模型工件缺失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基线预测不可用</w:t>
            </w:r>
          </w:p>
        </w:tc>
        <w:tc>
          <w:tcPr>
            <w:tcW w:type="dxa" w:w="55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核证请求返回 EM-5003，节能量保持规划目标状态，不降级为估算值</w:t>
            </w:r>
          </w:p>
        </w:tc>
      </w:tr>
      <w:tr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表计长期离线</w:t>
            </w:r>
          </w:p>
        </w:tc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数据完好率下降</w:t>
            </w:r>
          </w:p>
        </w:tc>
        <w:tc>
          <w:tcPr>
            <w:tcW w:type="dxa" w:w="55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低于阈值的条目标 estimated，不参与结算，并触发 dataQuality 诊断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7-4  故障场景与处置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7.4  安全与审计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传输全程 HTTPS，边缘至中心仅开放 443 出方向，现场侧不暴露入方向端口。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权限以站点为范围边界，EmPrincipal.siteScope 为空时拒绝所有查询，不存在越权的默认全量视图。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关账、红冲、费率变更、因子变更、节能量核证五类操作强制写审计，记录操作人、时间、变更前后值。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审计日志只增不改，保留期 5 年，与台账归档周期一致。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对外接口不返回 Fantom 堆栈；服务端日志中的表计编号与租户名称在导出时脱敏。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外推签名采用 HMAC-SHA256，密钥按对接方独立配置，不复用。</w:t>
      </w:r>
    </w:p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8  开发与交付计划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以下为规划工期，单位为周，按两名 Fantom 开发加一名前端开发估算，未含现场调试与验收。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900"/>
        <w:gridCol w:w="3960"/>
        <w:gridCol w:w="900"/>
        <w:gridCol w:w="3240"/>
      </w:tblGrid>
      <w:tr>
        <w:trPr>
          <w:tblHeader/>
        </w:trPr>
        <w:tc>
          <w:tcPr>
            <w:tcW w:type="dxa" w:w="9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里程碑</w:t>
            </w:r>
          </w:p>
        </w:tc>
        <w:tc>
          <w:tcPr>
            <w:tcW w:type="dxa" w:w="39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  <w:tc>
          <w:tcPr>
            <w:tcW w:type="dxa" w:w="9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工期</w:t>
            </w:r>
          </w:p>
        </w:tc>
        <w:tc>
          <w:tcPr>
            <w:tcW w:type="dxa" w:w="32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交付物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M1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Xeto 库落地、连接器接入、点表导入与校验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 0.1.0 库、点表导入工具</w:t>
            </w:r>
          </w:p>
        </w:tc>
      </w:tr>
      <w:tr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M2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EmRepo、EmLedgerEngine、EmCloseTx、关账闸门</w:t>
            </w:r>
          </w:p>
        </w:tc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台账与关账可用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M3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EmAllocEngine 七种方法、EmBillEngine、费率维护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3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分摊与账单可用</w:t>
            </w:r>
          </w:p>
        </w:tc>
      </w:tr>
      <w:tr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M4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EmKpiEngine、定额、对标</w:t>
            </w:r>
          </w:p>
        </w:tc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2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指标看板可用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M5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EmBaselineEngine、ONNX 推理、核证流程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3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基线与核证可用</w:t>
            </w:r>
          </w:p>
        </w:tc>
      </w:tr>
      <w:tr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M6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EmCarbonEngine、因子版本锁、绿证</w:t>
            </w:r>
          </w:p>
        </w:tc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2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碳账可用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M7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EmDiagEngine、事件与工单闭环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2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诊断闭环可用</w:t>
            </w:r>
          </w:p>
        </w:tc>
      </w:tr>
      <w:tr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M8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前端九模块整合、权限、压测与调优</w:t>
            </w:r>
          </w:p>
        </w:tc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3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完整系统与压测报告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合计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23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8-1  里程碑计划（规划值）</w:t>
      </w:r>
    </w:p>
    <w:tbl>
      <w:tblPr>
        <w:tblW w:type="dxa" w:w="9000"/>
        <w:tblBorders>
          <w:top w:val="single" w:color="C9D6E0" w:sz="4"/>
          <w:left w:val="single" w:color="C49A2E" w:sz="2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CF8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C49A2E"/>
                <w:sz w:val="19"/>
                <w:szCs w:val="19"/>
              </w:rPr>
              <w:t xml:space="preserve">依赖前置</w:t>
            </w:r>
          </w:p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color w:val="1F2933"/>
                <w:sz w:val="20"/>
                <w:szCs w:val="20"/>
              </w:rPr>
              <w:t xml:space="preserve">M2 的关账闸门依赖现场计量方案达到可平衡状态。若首轮缺口率长期高于 5%，需先补齐计量点位或增设虚表，该工作不在软件工期内，应在项目计划中单列。</w:t>
            </w:r>
          </w:p>
        </w:tc>
      </w:tr>
    </w:tbl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附录 A  错误码表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080"/>
        <w:gridCol w:w="720"/>
        <w:gridCol w:w="3240"/>
        <w:gridCol w:w="3960"/>
      </w:tblGrid>
      <w:tr>
        <w:trPr>
          <w:tblHeader/>
        </w:trPr>
        <w:tc>
          <w:tcPr>
            <w:tcW w:type="dxa" w:w="10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错误码</w:t>
            </w:r>
          </w:p>
        </w:tc>
        <w:tc>
          <w:tcPr>
            <w:tcW w:type="dxa" w:w="7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HTTP</w:t>
            </w:r>
          </w:p>
        </w:tc>
        <w:tc>
          <w:tcPr>
            <w:tcW w:type="dxa" w:w="32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含义</w:t>
            </w:r>
          </w:p>
        </w:tc>
        <w:tc>
          <w:tcPr>
            <w:tcW w:type="dxa" w:w="39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处置建议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EM-1001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400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参数缺失或格式错误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检查请求体字段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EM-1002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400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账期格式非法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使用 2026-07 或起止日期区间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EM-1003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400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缺少幂等键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写接口必带 Idempotency-Key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EM-2001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403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权限不足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检查角色与权限点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EM-2002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403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站点范围外访问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检查 siteScope 配置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EM-3001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账期已关账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如需修改请走红冲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EM-3002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缺口率超限，关账阻断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查看未平衡表计清单，补齐计量或增设虚表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EM-3003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已关账条目不可修改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改用红冲接口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EM-3004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400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未关账条目不应红冲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直接重算即可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EM-3005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422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计量树跨介质挂接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修正 submeterOf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EM-3006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422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数据完好率低于阈值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条目已标 estimated，补采后重录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EM-4001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账期未关账，不可出账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先执行关账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EM-4002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404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未找到适用费率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检查费率生效期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EM-4003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422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费率缺少依据文件号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补填 emSourceDoc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EM-4004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账单已开具，不可重复生成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如需修改请作废后重开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EM-5001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基线未通过统计验收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查看 R2、CV(RMSE)、NMBE 明细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EM-5002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引用的基线无效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先重新拟合基线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EM-5003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503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模型工件缺失或加载失败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检查模型工件库路径与版本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EM-5004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报告期与基准期重叠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调整实施期与报告期边界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EM-6001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422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排放因子缺少依据文件号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补填 emSourceDoc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EM-6002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404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未找到适用年份或区域的因子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补充因子记录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EM-6003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绿证未注销，不可用于抵消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先完成注销核销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EM-7001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422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分摊规则冲突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调整 emPriority 或生效期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EM-7002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422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分摊份额合计不为一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检查 emShares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EM-8001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502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外部系统推送失败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已入重试队列，超 24 小时告警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EM-9001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500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内部错误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查看服务端日志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EM-9002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429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调度队列已满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稍后重试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EM-9003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429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接口限流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降低调用频率</w:t>
            </w:r>
          </w:p>
        </w:tc>
      </w:tr>
    </w:tbl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附录 B  前端路由全量清单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2340"/>
        <w:gridCol w:w="2160"/>
        <w:gridCol w:w="1260"/>
        <w:gridCol w:w="3240"/>
      </w:tblGrid>
      <w:tr>
        <w:trPr>
          <w:tblHeader/>
        </w:trPr>
        <w:tc>
          <w:tcPr>
            <w:tcW w:type="dxa" w:w="23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路由</w:t>
            </w:r>
          </w:p>
        </w:tc>
        <w:tc>
          <w:tcPr>
            <w:tcW w:type="dxa" w:w="21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组件</w:t>
            </w:r>
          </w:p>
        </w:tc>
        <w:tc>
          <w:tcPr>
            <w:tcW w:type="dxa" w:w="12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权限</w:t>
            </w:r>
          </w:p>
        </w:tc>
        <w:tc>
          <w:tcPr>
            <w:tcW w:type="dxa" w:w="32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/em/overview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OverviewPage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能源总览，默认路由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/em/topology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TopologyPage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计量树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/em/topology/:meterId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MeterDetailPage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表计详情与完好率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/em/ledger/entries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LedgerEntriesPage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台账流水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/em/ledger/close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ClosePeriodPage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em:close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关账闸门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/em/ledger/gap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GapAnalysisPage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缺口分析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/em/billing/tariffs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TariffListPage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费率列表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/em/billing/tariffs/:id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TariffEditorPage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费率编辑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/em/billing/alloc-rules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AllocRuleListPage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分摊规则列表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/em/billing/alloc-rules/:id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AllocRuleEditorPage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规则编辑与预览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/em/billing/bills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BillListPage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账单列表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/em/billing/bills/:id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BillDetailPage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账单详情与追溯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/em/kpi/indicators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KpiBoardPage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指标看板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/em/kpi/quotas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QuotaPage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定额与进度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/em/mv/baselines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BaselineListPage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基线列表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/em/mv/baselines/:id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BaselineDetailPage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em:mv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拟合与统计验收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/em/mv/projects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SavingsListPage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节能措施列表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/em/mv/projects/:id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SavingsDetailPage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em:mv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三态节能量与核证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/em/carbon/accounts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CarbonAccountPage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碳账目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/em/carbon/factors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FactorPage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因子版本锁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/em/carbon/certs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GreenCertPage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绿证与抵消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/em/diagnostics/anomalies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AnomalyPage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诊断事件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/em/diagnostics/workorders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WorkOrderPage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em:ops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工单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/em/settings/meters-import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MeterImportPage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点表导入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/em/settings/permissions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PermissionPage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角色与权限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/em/settings/schedules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SchedulePage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调度计划</w:t>
            </w:r>
          </w:p>
        </w:tc>
      </w:tr>
      <w:tr>
        <w:tc>
          <w:tcPr>
            <w:tcW w:type="dxa" w:w="2340"/>
          </w:tcPr>
          <w:p>
            <w:r>
              <w:t>/em/flow</w:t>
            </w:r>
          </w:p>
        </w:tc>
        <w:tc>
          <w:tcPr>
            <w:tcW w:type="dxa" w:w="2160"/>
          </w:tcPr>
          <w:p>
            <w:r>
              <w:t>FlowPage</w:t>
            </w:r>
          </w:p>
        </w:tc>
        <w:tc>
          <w:tcPr>
            <w:tcW w:type="dxa" w:w="1260"/>
          </w:tcPr>
          <w:p>
            <w:r>
              <w:t>em:read</w:t>
            </w:r>
          </w:p>
        </w:tc>
        <w:tc>
          <w:tcPr>
            <w:tcW w:type="dxa" w:w="3240"/>
          </w:tcPr>
          <w:p>
            <w:r>
              <w:t>能流图（Sankey），流向带宽∝台账能耗</w:t>
            </w:r>
          </w:p>
        </w:tc>
      </w:tr>
      <w:tr>
        <w:tc>
          <w:tcPr>
            <w:tcW w:type="dxa" w:w="2340"/>
          </w:tcPr>
          <w:p>
            <w:r>
              <w:t>/em/kpi</w:t>
            </w:r>
          </w:p>
        </w:tc>
        <w:tc>
          <w:tcPr>
            <w:tcW w:type="dxa" w:w="2160"/>
          </w:tcPr>
          <w:p>
            <w:r>
              <w:t>KpiPage</w:t>
            </w:r>
          </w:p>
        </w:tc>
        <w:tc>
          <w:tcPr>
            <w:tcW w:type="dxa" w:w="1260"/>
          </w:tcPr>
          <w:p>
            <w:r>
              <w:t>em:read</w:t>
            </w:r>
          </w:p>
        </w:tc>
        <w:tc>
          <w:tcPr>
            <w:tcW w:type="dxa" w:w="3240"/>
          </w:tcPr>
          <w:p>
            <w:r>
              <w:t>KPI 考核：核心指标卡与定额进度，分母缺失显示「—」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0" w:sz="4" w:space="6"/>
      </w:pBdr>
      <w:spacing w:before="120"/>
      <w:jc w:val="center"/>
    </w:pPr>
    <w:r>
      <w:rPr>
        <w:rFonts w:ascii="Microsoft YaHei" w:cs="Microsoft YaHei" w:eastAsia="Microsoft YaHei" w:hAnsi="Microsoft YaHei"/>
        <w:color w:val="5B6B7A"/>
        <w:sz w:val="16"/>
        <w:szCs w:val="16"/>
      </w:rPr>
      <w:t xml:space="preserve">energyMatrix FIN Pod 详细设计说明书  ·  ai4building  ·  </w:t>
    </w:r>
    <w:r>
      <w:rPr>
        <w:rFonts w:ascii="Consolas" w:cs="Consolas" w:eastAsia="Consolas" w:hAnsi="Consolas"/>
        <w:color w:val="5B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d3a1443383c3ee756fbf4b53e06cb9cd10edd25.png"/><Relationship Id="rId9" Type="http://schemas.openxmlformats.org/officeDocument/2006/relationships/image" Target="media/da0fe1e567a2655972fd8435847c4627c0b36655.png"/><Relationship Id="rId10" Type="http://schemas.openxmlformats.org/officeDocument/2006/relationships/image" Target="media/51fc40dbe31cc4d8b2b6552e73b46d81ea4403e3.png"/><Relationship Id="rId11" Type="http://schemas.openxmlformats.org/officeDocument/2006/relationships/image" Target="media/4f18dd28b0c4e654654c1da693067349beb93aae.png"/><Relationship Id="rId12" Type="http://schemas.openxmlformats.org/officeDocument/2006/relationships/image" Target="media/8a66d6940319c3b2308ce2a850a455fcb3ad8ecd.png"/><Relationship Id="rId13" Type="http://schemas.openxmlformats.org/officeDocument/2006/relationships/image" Target="media/f5ea4fc3ece1e723b9c7ab613fde09ad0cf92795.png"/><Relationship Id="rId14" Type="http://schemas.openxmlformats.org/officeDocument/2006/relationships/image" Target="media/4c49c39131d4162c7c10ca38186e1e7bc35edb19.png"/><Relationship Id="rId15" Type="http://schemas.openxmlformats.org/officeDocument/2006/relationships/image" Target="media/bf9827180787b97760e12800ceb88bb6ad276b2a.png"/><Relationship Id="rId16" Type="http://schemas.openxmlformats.org/officeDocument/2006/relationships/image" Target="media/39d00c76ff9542a71f1a8eaac9330b2a08c18977.png"/><Relationship Id="rId17" Type="http://schemas.openxmlformats.org/officeDocument/2006/relationships/image" Target="media/6ca2007af8ba913314dc7ef71fb3de44306354ae.png"/><Relationship Id="rId18" Type="http://schemas.openxmlformats.org/officeDocument/2006/relationships/image" Target="media/b4d9c51fa9f38176466a86d235a79c8b676834a4.png"/><Relationship Id="rId19" Type="http://schemas.openxmlformats.org/officeDocument/2006/relationships/image" Target="media/43a36a0f39b9e6225dca75cb695b4a72e1f85292.png"/><Relationship Id="rId2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energyMatrix FIN Pod 详细设计说明书</dc:title>
  <dc:creator>ai4building</dc:creator>
  <cp:lastModifiedBy>Un-named</cp:lastModifiedBy>
  <cp:revision>1</cp:revision>
  <dcterms:created xsi:type="dcterms:W3CDTF">2026-09-11T22:02:21.700Z</dcterms:created>
  <dcterms:modified xsi:type="dcterms:W3CDTF">2026-09-11T22:02:21.701Z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