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2400"/>
        <w:jc w:val="center"/>
      </w:pPr>
      <w:r>
        <w:rPr>
          <w:rFonts w:ascii="Arial" w:cs="Arial" w:eastAsia="Microsoft YaHei" w:hAnsi="Arial"/>
          <w:b/>
          <w:bCs/>
          <w:color w:val="1E2832"/>
          <w:sz w:val="44"/>
          <w:szCs w:val="44"/>
        </w:rPr>
        <w:t xml:space="preserve">建筑能耗采集通讯协议</w:t>
      </w:r>
    </w:p>
    <w:p>
      <w:pPr>
        <w:spacing w:after="120"/>
        <w:jc w:val="center"/>
      </w:pPr>
      <w:r>
        <w:rPr>
          <w:rFonts w:ascii="Arial" w:cs="Arial" w:eastAsia="Microsoft YaHei" w:hAnsi="Arial"/>
          <w:b/>
          <w:bCs/>
          <w:color w:val="0B5F77"/>
          <w:sz w:val="36"/>
          <w:szCs w:val="36"/>
        </w:rPr>
        <w:t xml:space="preserve">综合技术与成本对比</w:t>
      </w:r>
    </w:p>
    <w:p>
      <w:pPr>
        <w:spacing w:after="1400"/>
        <w:jc w:val="center"/>
      </w:pPr>
      <w:r>
        <w:rPr>
          <w:rFonts w:ascii="Arial" w:cs="Arial" w:eastAsia="Microsoft YaHei" w:hAnsi="Arial"/>
          <w:b/>
          <w:bCs/>
          <w:color w:val="0B5F77"/>
          <w:sz w:val="36"/>
          <w:szCs w:val="36"/>
        </w:rPr>
        <w:t xml:space="preserve">分析报告</w:t>
      </w:r>
    </w:p>
    <w:p>
      <w:pPr>
        <w:spacing w:after="160"/>
        <w:jc w:val="center"/>
      </w:pPr>
      <w:r>
        <w:rPr>
          <w:rFonts w:ascii="Arial" w:cs="Arial" w:eastAsia="Microsoft YaHei" w:hAnsi="Arial"/>
          <w:color w:val="5C6B78"/>
          <w:sz w:val="22"/>
          <w:szCs w:val="22"/>
        </w:rPr>
        <w:t xml:space="preserve">energyMatrix 建筑能源管理系统 V1.0 · 附件三</w:t>
      </w:r>
    </w:p>
    <w:p>
      <w:pPr>
        <w:spacing w:after="120" w:line="320"/>
        <w:jc w:val="center"/>
      </w:pPr>
      <w:r>
        <w:rPr>
          <w:rFonts w:ascii="Arial" w:cs="Arial" w:eastAsia="Microsoft YaHei" w:hAnsi="Arial"/>
          <w:color w:val="5C6B78"/>
          <w:sz w:val="22"/>
          <w:szCs w:val="22"/>
        </w:rPr>
        <w:t xml:space="preserve">西门子（中国）有限公司 · 2026 年 9 月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Microsoft YaHei" w:hAnsi="Arial"/>
          <w:b/>
          <w:bCs/>
          <w:color w:val="0B5F77"/>
          <w:sz w:val="30"/>
          <w:szCs w:val="30"/>
        </w:rPr>
        <w:t xml:space="preserve">一、协议定位与技术底层</w:t>
      </w:r>
    </w:p>
    <w:p>
      <w:pPr>
        <w:spacing w:after="120" w:line="320"/>
        <w:ind w:firstLine="504"/>
      </w:pPr>
      <w:r>
        <w:rPr>
          <w:rFonts w:ascii="Times New Roman" w:cs="Times New Roman" w:eastAsia="SimSun" w:hAnsi="Times New Roman"/>
          <w:color w:val="1E2832"/>
          <w:sz w:val="21"/>
          <w:szCs w:val="21"/>
        </w:rPr>
        <w:t xml:space="preserve">能耗采集的通讯选型直接决定计量数据的及时性、完整率与工程成本。本报告对比楼宇能源管理中常见的七类通讯方式：Modbus RTU、Modbus TCP、M-Bus、BACnet、KNX、MQTT 与 LoRa / NB-IoT 无线上报，给出选型建议。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50"/>
        <w:gridCol w:w="2450"/>
        <w:gridCol w:w="2400"/>
      </w:tblGrid>
      <w:tr>
        <w:trPr>
          <w:tblHeader/>
        </w:trPr>
        <w:tc>
          <w:tcPr>
            <w:tcW w:type="dxa" w:w="17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45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有线总线（Modbus RTU / M-Bus）</w:t>
            </w:r>
          </w:p>
        </w:tc>
        <w:tc>
          <w:tcPr>
            <w:tcW w:type="dxa" w:w="245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以太网（Modbus TCP / BACnet IP / KNX IP）</w:t>
            </w:r>
          </w:p>
        </w:tc>
        <w:tc>
          <w:tcPr>
            <w:tcW w:type="dxa" w:w="24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无线广域（LoRa / NB-IoT）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协议基础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Modbus：工业串行总线事实标准；M-Bus：EN 13757 欧洲仪表总线标准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BACnet：楼宇自控国际标准（ISO 16484）；KNX：EN 50090 / ISO/IEC 14543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LoRa：Semtech 调制 + LoRaWAN；NB-IoT：3GPP 蜂窝物联网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核心定位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表计密集区域的低成本可靠采集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楼控 / 电力监控系统集成与主干传输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改造难布线区域、分散点位的远传抄表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典型设备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电表、水表、冷热量表、采集器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边缘引擎、网关、BA 控制器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无线水表、燃气表、DTU</w:t>
            </w:r>
          </w:p>
        </w:tc>
      </w:tr>
    </w:tbl>
    <w:p>
      <w:pPr>
        <w:spacing w:after="60"/>
      </w:pPr>
      <w:r>
        <w:rPr>
          <w:rFonts w:ascii="Times New Roman" w:cs="Times New Roman" w:eastAsia="SimSun" w:hAnsi="Times New Roman"/>
          <w:color w:val="1E2832"/>
          <w:sz w:val="10"/>
          <w:szCs w:val="10"/>
        </w:rPr>
        <w:t xml:space="preserve"/>
      </w:r>
    </w:p>
    <w:p>
      <w:pPr>
        <w:pStyle w:val="Heading1"/>
        <w:spacing w:after="160" w:before="340"/>
      </w:pPr>
      <w:r>
        <w:rPr>
          <w:rFonts w:ascii="Arial" w:cs="Arial" w:eastAsia="Microsoft YaHei" w:hAnsi="Arial"/>
          <w:b/>
          <w:bCs/>
          <w:color w:val="0B5F77"/>
          <w:sz w:val="30"/>
          <w:szCs w:val="30"/>
        </w:rPr>
        <w:t xml:space="preserve">二、网络架构与拓扑能力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50"/>
        <w:gridCol w:w="2450"/>
        <w:gridCol w:w="2400"/>
      </w:tblGrid>
      <w:tr>
        <w:trPr>
          <w:tblHeader/>
        </w:trPr>
        <w:tc>
          <w:tcPr>
            <w:tcW w:type="dxa" w:w="17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45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Modbus RTU / M-Bus</w:t>
            </w:r>
          </w:p>
        </w:tc>
        <w:tc>
          <w:tcPr>
            <w:tcW w:type="dxa" w:w="245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Modbus TCP / BACnet IP</w:t>
            </w:r>
          </w:p>
        </w:tc>
        <w:tc>
          <w:tcPr>
            <w:tcW w:type="dxa" w:w="24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LoRa / NB-IoT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拓扑类型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总线型；Modbus 每段 ≤32 节点（中继扩展），M-Bus 每段 ≤250 节点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星型，依托楼宇设备网 / VLAN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星型（LoRa 经网关汇聚；NB-IoT 直连运营商基站）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覆盖能力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RS-485 约 1,200 m；M-Bus 约 1,000 m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以太网 100 m/段，光纤骨干延伸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LoRa 室内 100–300 m；NB-IoT 依赖公网覆盖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部署灵活性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需敷设总线，表计集中配电箱内最经济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复用既有综合布线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免布线，即装即用；地下室需核查信号</w:t>
            </w:r>
          </w:p>
        </w:tc>
      </w:tr>
    </w:tbl>
    <w:p>
      <w:pPr>
        <w:spacing w:after="60"/>
      </w:pPr>
      <w:r>
        <w:rPr>
          <w:rFonts w:ascii="Times New Roman" w:cs="Times New Roman" w:eastAsia="SimSun" w:hAnsi="Times New Roman"/>
          <w:color w:val="1E2832"/>
          <w:sz w:val="10"/>
          <w:szCs w:val="10"/>
        </w:rPr>
        <w:t xml:space="preserve"/>
      </w:r>
    </w:p>
    <w:p>
      <w:pPr>
        <w:pStyle w:val="Heading1"/>
        <w:spacing w:after="160" w:before="340"/>
      </w:pPr>
      <w:r>
        <w:rPr>
          <w:rFonts w:ascii="Arial" w:cs="Arial" w:eastAsia="Microsoft YaHei" w:hAnsi="Arial"/>
          <w:b/>
          <w:bCs/>
          <w:color w:val="0B5F77"/>
          <w:sz w:val="30"/>
          <w:szCs w:val="30"/>
        </w:rPr>
        <w:t xml:space="preserve">三、传输性能与实时性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50"/>
        <w:gridCol w:w="2450"/>
        <w:gridCol w:w="2400"/>
      </w:tblGrid>
      <w:tr>
        <w:trPr>
          <w:tblHeader/>
        </w:trPr>
        <w:tc>
          <w:tcPr>
            <w:tcW w:type="dxa" w:w="17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45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Modbus RTU / M-Bus</w:t>
            </w:r>
          </w:p>
        </w:tc>
        <w:tc>
          <w:tcPr>
            <w:tcW w:type="dxa" w:w="245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Modbus TCP / BACnet IP</w:t>
            </w:r>
          </w:p>
        </w:tc>
        <w:tc>
          <w:tcPr>
            <w:tcW w:type="dxa" w:w="24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LoRa / NB-IoT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数据速率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Modbus 1.2–115.2 kbps；M-Bus 0.3–38.4 kbps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10/100 Mbps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LoRa 0.3–50 kbps；NB-IoT ≈ 百 kbps 级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采集周期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秒级轮询（需量、负荷曲线场景可满足）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毫秒–秒级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分钟级及以上上报，适合日冻结 / 月账单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可靠性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有线抗干扰强，丢包率极低；屏蔽双绞线 + 终端电阻后工业级稳定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依托 IP 网络，QoS 可管可控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受遮挡与拥塞影响，需重传与补采机制</w:t>
            </w:r>
          </w:p>
        </w:tc>
      </w:tr>
    </w:tbl>
    <w:p>
      <w:pPr>
        <w:spacing w:after="60"/>
      </w:pPr>
      <w:r>
        <w:rPr>
          <w:rFonts w:ascii="Times New Roman" w:cs="Times New Roman" w:eastAsia="SimSun" w:hAnsi="Times New Roman"/>
          <w:color w:val="1E2832"/>
          <w:sz w:val="10"/>
          <w:szCs w:val="10"/>
        </w:rPr>
        <w:t xml:space="preserve"/>
      </w:r>
    </w:p>
    <w:p>
      <w:pPr>
        <w:spacing w:after="120" w:line="320"/>
        <w:ind w:firstLine="504"/>
      </w:pPr>
      <w:r>
        <w:rPr>
          <w:rFonts w:ascii="Times New Roman" w:cs="Times New Roman" w:eastAsia="SimSun" w:hAnsi="Times New Roman"/>
          <w:color w:val="1E2832"/>
          <w:sz w:val="21"/>
          <w:szCs w:val="21"/>
        </w:rPr>
        <w:t xml:space="preserve">energyMatrix 的台账以“日”为默认落库粒度、需量与实时负荷依赖 15 分钟级曲线，因此总线与以太网方案均可满足；纯 LoRa / NB-IoT 方案不适合承担需量监测与实时告警链路。</w:t>
      </w:r>
    </w:p>
    <w:p>
      <w:pPr>
        <w:pStyle w:val="Heading1"/>
        <w:spacing w:after="160" w:before="340"/>
      </w:pPr>
      <w:r>
        <w:rPr>
          <w:rFonts w:ascii="Arial" w:cs="Arial" w:eastAsia="Microsoft YaHei" w:hAnsi="Arial"/>
          <w:b/>
          <w:bCs/>
          <w:color w:val="0B5F77"/>
          <w:sz w:val="30"/>
          <w:szCs w:val="30"/>
        </w:rPr>
        <w:t xml:space="preserve">四、供电与功耗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50"/>
        <w:gridCol w:w="2450"/>
        <w:gridCol w:w="2400"/>
      </w:tblGrid>
      <w:tr>
        <w:trPr>
          <w:tblHeader/>
        </w:trPr>
        <w:tc>
          <w:tcPr>
            <w:tcW w:type="dxa" w:w="17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45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Modbus RTU / M-Bus</w:t>
            </w:r>
          </w:p>
        </w:tc>
        <w:tc>
          <w:tcPr>
            <w:tcW w:type="dxa" w:w="245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以太网方案</w:t>
            </w:r>
          </w:p>
        </w:tc>
        <w:tc>
          <w:tcPr>
            <w:tcW w:type="dxa" w:w="24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LoRa / NB-IoT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设备供电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电表常电；M-Bus 支持总线供电（水 / 热表常见）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常电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电池为主，低功耗设计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典型续航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—（常电）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—（常电）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电池 5–10 年（低频上报）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维护要点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总线极性与终端匹配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网络可用性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电池更换周期与远程电量监控</w:t>
            </w:r>
          </w:p>
        </w:tc>
      </w:tr>
    </w:tbl>
    <w:p>
      <w:pPr>
        <w:spacing w:after="60"/>
      </w:pPr>
      <w:r>
        <w:rPr>
          <w:rFonts w:ascii="Times New Roman" w:cs="Times New Roman" w:eastAsia="SimSun" w:hAnsi="Times New Roman"/>
          <w:color w:val="1E2832"/>
          <w:sz w:val="10"/>
          <w:szCs w:val="10"/>
        </w:rPr>
        <w:t xml:space="preserve"/>
      </w:r>
    </w:p>
    <w:p>
      <w:pPr>
        <w:pStyle w:val="Heading1"/>
        <w:spacing w:after="160" w:before="340"/>
      </w:pPr>
      <w:r>
        <w:rPr>
          <w:rFonts w:ascii="Arial" w:cs="Arial" w:eastAsia="Microsoft YaHei" w:hAnsi="Arial"/>
          <w:b/>
          <w:bCs/>
          <w:color w:val="0B5F77"/>
          <w:sz w:val="30"/>
          <w:szCs w:val="30"/>
        </w:rPr>
        <w:t xml:space="preserve">五、安全性、生态与集成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50"/>
        <w:gridCol w:w="2450"/>
        <w:gridCol w:w="2400"/>
      </w:tblGrid>
      <w:tr>
        <w:trPr>
          <w:tblHeader/>
        </w:trPr>
        <w:tc>
          <w:tcPr>
            <w:tcW w:type="dxa" w:w="17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45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Modbus RTU / M-Bus</w:t>
            </w:r>
          </w:p>
        </w:tc>
        <w:tc>
          <w:tcPr>
            <w:tcW w:type="dxa" w:w="245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Modbus TCP / BACnet IP</w:t>
            </w:r>
          </w:p>
        </w:tc>
        <w:tc>
          <w:tcPr>
            <w:tcW w:type="dxa" w:w="24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LoRa / NB-IoT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安全机制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物理隔离为主；建议设备网独立 VLAN / 物理隔离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支持网络层安全策略；BACnet/SC 提供安全链路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AES-128（LoRaWAN）/ 运营商级加密（NB-IoT）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生态兼容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表计厂商几乎全部支持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BA 与电力监控主流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以水气表与 DTU 为主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与 energyMatrix 集成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边缘引擎原生 Modbus / M-Bus 驱动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原生 BACnet IP / Modbus TCP 驱动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经 MQTT 或网关汇聚后接入</w:t>
            </w:r>
          </w:p>
        </w:tc>
      </w:tr>
    </w:tbl>
    <w:p>
      <w:pPr>
        <w:spacing w:after="60"/>
      </w:pPr>
      <w:r>
        <w:rPr>
          <w:rFonts w:ascii="Times New Roman" w:cs="Times New Roman" w:eastAsia="SimSun" w:hAnsi="Times New Roman"/>
          <w:color w:val="1E2832"/>
          <w:sz w:val="10"/>
          <w:szCs w:val="10"/>
        </w:rPr>
        <w:t xml:space="preserve"/>
      </w:r>
    </w:p>
    <w:p>
      <w:pPr>
        <w:pStyle w:val="Heading1"/>
        <w:spacing w:after="160" w:before="340"/>
      </w:pPr>
      <w:r>
        <w:rPr>
          <w:rFonts w:ascii="Arial" w:cs="Arial" w:eastAsia="Microsoft YaHei" w:hAnsi="Arial"/>
          <w:b/>
          <w:bCs/>
          <w:color w:val="0B5F77"/>
          <w:sz w:val="30"/>
          <w:szCs w:val="30"/>
        </w:rPr>
        <w:t xml:space="preserve">六、工程建设成本分析（以 10,000 ㎡ 办公建筑为例）</w:t>
      </w:r>
    </w:p>
    <w:p>
      <w:pPr>
        <w:spacing w:after="120" w:line="320"/>
        <w:ind w:firstLine="504"/>
      </w:pPr>
      <w:r>
        <w:rPr>
          <w:rFonts w:ascii="Times New Roman" w:cs="Times New Roman" w:eastAsia="SimSun" w:hAnsi="Times New Roman"/>
          <w:color w:val="1E2832"/>
          <w:sz w:val="21"/>
          <w:szCs w:val="21"/>
        </w:rPr>
        <w:t xml:space="preserve">假设：电计量关口 1 块 + 分项 24 块 + 楼层子表 24 块，水表 6 块，冷热量表 2 台，合计约 57 个计量点。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50"/>
        <w:gridCol w:w="2450"/>
        <w:gridCol w:w="2400"/>
      </w:tblGrid>
      <w:tr>
        <w:trPr>
          <w:tblHeader/>
        </w:trPr>
        <w:tc>
          <w:tcPr>
            <w:tcW w:type="dxa" w:w="17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成本项</w:t>
            </w:r>
          </w:p>
        </w:tc>
        <w:tc>
          <w:tcPr>
            <w:tcW w:type="dxa" w:w="245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有线总线方案</w:t>
            </w:r>
          </w:p>
        </w:tc>
        <w:tc>
          <w:tcPr>
            <w:tcW w:type="dxa" w:w="245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以太网直连方案</w:t>
            </w:r>
          </w:p>
        </w:tc>
        <w:tc>
          <w:tcPr>
            <w:tcW w:type="dxa" w:w="24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无线（LoRa / NB-IoT）方案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线缆与敷设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屏蔽双绞线约 1,500–2,500 m，需穿管敷设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复用设备网，少量跳线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采集设备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Modbus 网关 4–6 台 + M-Bus 采集器 1–2 台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无需采集器（表计需网口型，单价更高）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LoRa 网关 2–3 台，或 NB-IoT 表计内置流量费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调试周期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3–5 天（总线分段测试）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2–3 天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1–2 天（需逐点验证信号）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综合工程造价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中（线缆施工占主）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中高（网口表计溢价）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表计溢价 + 流量费，无施工费</w:t>
            </w:r>
          </w:p>
        </w:tc>
      </w:tr>
    </w:tbl>
    <w:p>
      <w:pPr>
        <w:spacing w:after="60"/>
      </w:pPr>
      <w:r>
        <w:rPr>
          <w:rFonts w:ascii="Times New Roman" w:cs="Times New Roman" w:eastAsia="SimSun" w:hAnsi="Times New Roman"/>
          <w:color w:val="1E2832"/>
          <w:sz w:val="10"/>
          <w:szCs w:val="10"/>
        </w:rPr>
        <w:t xml:space="preserve"/>
      </w:r>
    </w:p>
    <w:p>
      <w:pPr>
        <w:pStyle w:val="Heading1"/>
        <w:spacing w:after="160" w:before="340"/>
      </w:pPr>
      <w:r>
        <w:rPr>
          <w:rFonts w:ascii="Arial" w:cs="Arial" w:eastAsia="Microsoft YaHei" w:hAnsi="Arial"/>
          <w:b/>
          <w:bCs/>
          <w:color w:val="0B5F77"/>
          <w:sz w:val="30"/>
          <w:szCs w:val="30"/>
        </w:rPr>
        <w:t xml:space="preserve">七、运行维护成本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50"/>
        <w:gridCol w:w="2450"/>
        <w:gridCol w:w="2400"/>
      </w:tblGrid>
      <w:tr>
        <w:trPr>
          <w:tblHeader/>
        </w:trPr>
        <w:tc>
          <w:tcPr>
            <w:tcW w:type="dxa" w:w="17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45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有线总线方案</w:t>
            </w:r>
          </w:p>
        </w:tc>
        <w:tc>
          <w:tcPr>
            <w:tcW w:type="dxa" w:w="245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以太网直连方案</w:t>
            </w:r>
          </w:p>
        </w:tc>
        <w:tc>
          <w:tcPr>
            <w:tcW w:type="dxa" w:w="2400"/>
            <w:shd w:fill="0B5F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FFFFFF"/>
                <w:sz w:val="18"/>
                <w:szCs w:val="18"/>
              </w:rPr>
              <w:t xml:space="preserve">无线方案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故障排查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总线分段定位，成熟直观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依赖 IP 网络运维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信号衰减与电池状态需远程监控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数据完好率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高（断网本地缓存补采）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高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中（依赖重传与补采策略）</w:t>
            </w:r>
          </w:p>
        </w:tc>
      </w:tr>
      <w:tr>
        <w:tc>
          <w:tcPr>
            <w:tcW w:type="dxa" w:w="1700"/>
            <w:shd w:fill="EEF3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/>
                <w:bCs/>
                <w:color w:val="1E2832"/>
                <w:sz w:val="18"/>
                <w:szCs w:val="18"/>
              </w:rPr>
              <w:t xml:space="preserve">系统扩展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总线余量内挂表即扩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接入设备网即扩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E2832"/>
                <w:sz w:val="18"/>
                <w:szCs w:val="18"/>
              </w:rPr>
              <w:t xml:space="preserve">新装即入网，但密集区需评估信道</w:t>
            </w:r>
          </w:p>
        </w:tc>
      </w:tr>
    </w:tbl>
    <w:p>
      <w:pPr>
        <w:spacing w:after="60"/>
      </w:pPr>
      <w:r>
        <w:rPr>
          <w:rFonts w:ascii="Times New Roman" w:cs="Times New Roman" w:eastAsia="SimSun" w:hAnsi="Times New Roman"/>
          <w:color w:val="1E2832"/>
          <w:sz w:val="10"/>
          <w:szCs w:val="10"/>
        </w:rPr>
        <w:t xml:space="preserve"/>
      </w:r>
    </w:p>
    <w:p>
      <w:pPr>
        <w:pStyle w:val="Heading1"/>
        <w:spacing w:after="160" w:before="340"/>
      </w:pPr>
      <w:r>
        <w:rPr>
          <w:rFonts w:ascii="Arial" w:cs="Arial" w:eastAsia="Microsoft YaHei" w:hAnsi="Arial"/>
          <w:b/>
          <w:bCs/>
          <w:color w:val="0B5F77"/>
          <w:sz w:val="30"/>
          <w:szCs w:val="30"/>
        </w:rPr>
        <w:t xml:space="preserve">八、综合结论与选型建议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1E2832"/>
          <w:sz w:val="25"/>
          <w:szCs w:val="25"/>
        </w:rPr>
        <w:t xml:space="preserve">8.1 推荐组合</w:t>
      </w:r>
    </w:p>
    <w:p>
      <w:pPr>
        <w:spacing w:after="120" w:line="320"/>
        <w:ind w:firstLine="504"/>
      </w:pPr>
      <w:r>
        <w:rPr>
          <w:rFonts w:ascii="Times New Roman" w:cs="Times New Roman" w:eastAsia="SimSun" w:hAnsi="Times New Roman"/>
          <w:color w:val="1E2832"/>
          <w:sz w:val="21"/>
          <w:szCs w:val="21"/>
        </w:rPr>
        <w:t xml:space="preserve">新建项目与配电房集中的改造项目：以 RS-485（Modbus RTU）+ M-Bus 有线总线为主干，边缘引擎 Modbus TCP / BACnet IP 上行——数据完好率与实时性最优，全生命周期成本最低。</w:t>
      </w:r>
    </w:p>
    <w:p>
      <w:pPr>
        <w:spacing w:after="120" w:line="320"/>
        <w:ind w:firstLine="504"/>
      </w:pPr>
      <w:r>
        <w:rPr>
          <w:rFonts w:ascii="Times New Roman" w:cs="Times New Roman" w:eastAsia="SimSun" w:hAnsi="Times New Roman"/>
          <w:color w:val="1E2832"/>
          <w:sz w:val="21"/>
          <w:szCs w:val="21"/>
        </w:rPr>
        <w:t xml:space="preserve">分散点位与难布线区域（独立电井、室外泵房、租户外铺）：采用 LoRa / NB-IoT 无线表计或 4G DTU 补盲，经 MQTT 汇聚接入。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1E2832"/>
          <w:sz w:val="25"/>
          <w:szCs w:val="25"/>
        </w:rPr>
        <w:t xml:space="preserve">8.2 适用边界</w:t>
      </w:r>
    </w:p>
    <w:p>
      <w:pPr>
        <w:spacing w:after="120" w:line="320"/>
        <w:ind w:firstLine="504"/>
      </w:pPr>
      <w:r>
        <w:rPr>
          <w:rFonts w:ascii="Times New Roman" w:cs="Times New Roman" w:eastAsia="SimSun" w:hAnsi="Times New Roman"/>
          <w:color w:val="1E2832"/>
          <w:sz w:val="21"/>
          <w:szCs w:val="21"/>
        </w:rPr>
        <w:t xml:space="preserve">需量监测、实时告警与负荷曲线链路必须使用有线方案；无线上报仅承担日 / 月冻结数据与账单口径数据。</w:t>
      </w:r>
    </w:p>
    <w:p>
      <w:pPr>
        <w:spacing w:after="120" w:line="320"/>
        <w:ind w:firstLine="504"/>
      </w:pPr>
      <w:r>
        <w:rPr>
          <w:rFonts w:ascii="Times New Roman" w:cs="Times New Roman" w:eastAsia="SimSun" w:hAnsi="Times New Roman"/>
          <w:color w:val="1E2832"/>
          <w:sz w:val="21"/>
          <w:szCs w:val="21"/>
        </w:rPr>
        <w:t xml:space="preserve">既有楼控（BACnet）与电力监控（Modbus TCP）系统优先利旧对接，energyMatrix 经边缘引擎直接集成，不重复装表。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1E2832"/>
          <w:sz w:val="25"/>
          <w:szCs w:val="25"/>
        </w:rPr>
        <w:t xml:space="preserve">8.3 关键纪律</w:t>
      </w:r>
    </w:p>
    <w:p>
      <w:pPr>
        <w:spacing w:after="120" w:line="320"/>
        <w:ind w:firstLine="504"/>
      </w:pPr>
      <w:r>
        <w:rPr>
          <w:rFonts w:ascii="Times New Roman" w:cs="Times New Roman" w:eastAsia="SimSun" w:hAnsi="Times New Roman"/>
          <w:color w:val="1E2832"/>
          <w:sz w:val="21"/>
          <w:szCs w:val="21"/>
        </w:rPr>
        <w:t xml:space="preserve">无论采用何种通讯链路，进入 energyMatrix 台账的每个数值都必须带来源标记（实测 / 推导 / 分摊 / 估算 / 人工），无线链路的补采数据按估算口径标注，确保账目可审计。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320"/>
      <w:jc w:val="center"/>
    </w:pPr>
    <w:r>
      <w:rPr>
        <w:rFonts w:ascii="Arial" w:cs="Arial" w:eastAsia="Microsoft YaHei" w:hAnsi="Arial"/>
        <w:color w:val="5C6B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rPr>
        <w:rFonts w:ascii="Arial" w:cs="Arial" w:eastAsia="Microsoft YaHei" w:hAnsi="Arial"/>
        <w:color w:val="5C6B78"/>
        <w:sz w:val="18"/>
        <w:szCs w:val="18"/>
      </w:rPr>
      <w:t xml:space="preserve">附件三 · 建筑能耗采集通讯协议对比分析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2026-09-14T10:28:39.647Z</dcterms:created>
  <dcterms:modified xsi:type="dcterms:W3CDTF">2026-09-14T10:28:39.648Z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