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Microsoft YaHei" w:cs="Microsoft YaHei" w:eastAsia="Microsoft YaHei" w:hAnsi="Microsoft YaHei"/>
          <w:color w:val="1F2933"/>
          <w:sz w:val="21"/>
          <w:szCs w:val="21"/>
        </w:rPr>
        <w:t xml:space="preserve"/>
      </w:r>
    </w:p>
    <w:p>
      <w:pPr>
        <w:spacing w:after="100"/>
        <w:jc w:val="center"/>
      </w:pPr>
      <w:r>
        <w:rPr>
          <w:rFonts w:ascii="Consolas" w:cs="Consolas" w:eastAsia="Consolas" w:hAnsi="Consolas"/>
          <w:color w:val="1597A5"/>
          <w:spacing w:val="60"/>
          <w:sz w:val="20"/>
          <w:szCs w:val="20"/>
        </w:rPr>
        <w:t xml:space="preserve">ai4building  ·  Digital Twin System</w:t>
      </w:r>
    </w:p>
    <w:p>
      <w:pPr>
        <w:spacing w:after="60"/>
        <w:jc w:val="center"/>
      </w:pPr>
      <w:r>
        <w:rPr>
          <w:rFonts w:ascii="Consolas" w:cs="Consolas" w:eastAsia="Consolas" w:hAnsi="Consolas"/>
          <w:b/>
          <w:bCs/>
          <w:color w:val="0E2A47"/>
          <w:sz w:val="56"/>
          <w:szCs w:val="56"/>
        </w:rPr>
        <w:t xml:space="preserve">energyMatrix</w:t>
      </w:r>
    </w:p>
    <w:p>
      <w:pPr>
        <w:spacing w:after="200"/>
        <w:jc w:val="center"/>
      </w:pPr>
      <w:r>
        <w:rPr>
          <w:rFonts w:ascii="Microsoft YaHei" w:cs="Microsoft YaHei" w:eastAsia="Microsoft YaHei" w:hAnsi="Microsoft YaHei"/>
          <w:b/>
          <w:bCs/>
          <w:color w:val="0E2A47"/>
          <w:sz w:val="40"/>
          <w:szCs w:val="40"/>
        </w:rPr>
        <w:t xml:space="preserve">语义模型设计说明书</w:t>
      </w:r>
    </w:p>
    <w:p>
      <w:pPr>
        <w:pBdr>
          <w:top w:val="single" w:color="C49A2E" w:sz="8" w:space="10"/>
        </w:pBdr>
        <w:spacing w:after="900"/>
        <w:jc w:val="center"/>
      </w:pPr>
      <w:r>
        <w:rPr>
          <w:rFonts w:ascii="Microsoft YaHei" w:cs="Microsoft YaHei" w:eastAsia="Microsoft YaHei" w:hAnsi="Microsoft YaHei"/>
          <w:color w:val="0E7C86"/>
          <w:sz w:val="24"/>
          <w:szCs w:val="24"/>
        </w:rPr>
        <w:t xml:space="preserve">建筑能源管理系统 · FIN Framework Pod 插件</w:t>
      </w:r>
    </w:p>
    <w:p>
      <w:pPr>
        <w:spacing w:after="80"/>
        <w:jc w:val="center"/>
      </w:pPr>
      <w:r>
        <w:rPr>
          <w:rFonts w:ascii="Microsoft YaHei" w:cs="Microsoft YaHei" w:eastAsia="Microsoft YaHei" w:hAnsi="Microsoft YaHei"/>
          <w:color w:val="5B6B7A"/>
          <w:sz w:val="22"/>
          <w:szCs w:val="22"/>
        </w:rPr>
        <w:t>版本 V0.1.2</w:t>
      </w:r>
    </w:p>
    <w:p>
      <w:pPr>
        <w:spacing w:after="80"/>
        <w:jc w:val="center"/>
      </w:pPr>
      <w:r>
        <w:rPr>
          <w:rFonts w:ascii="Microsoft YaHei" w:cs="Microsoft YaHei" w:eastAsia="Microsoft YaHei" w:hAnsi="Microsoft YaHei"/>
          <w:color w:val="5B6B7A"/>
          <w:sz w:val="22"/>
          <w:szCs w:val="22"/>
        </w:rPr>
        <w:t>西门子中国</w:t>
      </w:r>
    </w:p>
    <w:p>
      <w:pPr>
        <w:jc w:val="center"/>
      </w:pPr>
      <w:r>
        <w:rPr>
          <w:rFonts w:ascii="Microsoft YaHei" w:cs="Microsoft YaHei" w:eastAsia="Microsoft YaHei" w:hAnsi="Microsoft YaHei"/>
          <w:color w:val="5B6B7A"/>
          <w:sz w:val="22"/>
          <w:szCs w:val="22"/>
        </w:rPr>
        <w:t xml:space="preserve">2026 年 9 月</w:t>
      </w:r>
    </w:p>
    <w:p>
      <w:r>
        <w:br w:type="page"/>
      </w:r>
    </w:p>
    <w:p>
      <w:pPr>
        <w:pStyle w:val="Heading1"/>
        <w:pBdr>
          <w:bottom w:val="single" w:color="1597A5" w:sz="10" w:space="6"/>
        </w:pBdr>
        <w:spacing w:after="160" w:before="320"/>
      </w:pPr>
      <w:r>
        <w:rPr>
          <w:rFonts w:ascii="Microsoft YaHei" w:cs="Microsoft YaHei" w:eastAsia="Microsoft YaHei" w:hAnsi="Microsoft YaHei"/>
          <w:b/>
          <w:bCs/>
          <w:color w:val="0E2A47"/>
          <w:sz w:val="30"/>
          <w:szCs w:val="30"/>
        </w:rPr>
        <w:t xml:space="preserve">文档信息</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980"/>
        <w:gridCol w:w="7020"/>
      </w:tblGrid>
      <w:tr>
        <w:trPr>
          <w:tblHeader/>
        </w:trPr>
        <w:tc>
          <w:tcPr>
            <w:tcW w:type="dxa" w:w="19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项目</w:t>
            </w:r>
          </w:p>
        </w:tc>
        <w:tc>
          <w:tcPr>
            <w:tcW w:type="dxa" w:w="702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内容</w:t>
            </w:r>
          </w:p>
        </w:tc>
      </w:tr>
      <w:tr>
        <w:tc>
          <w:tcPr>
            <w:tcW w:type="dxa" w:w="19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文档名称</w:t>
            </w:r>
          </w:p>
        </w:tc>
        <w:tc>
          <w:tcPr>
            <w:tcW w:type="dxa" w:w="70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energyMatrix 语义模型设计说明书</w:t>
            </w:r>
          </w:p>
        </w:tc>
      </w:tr>
      <w:tr>
        <w:tc>
          <w:tcPr>
            <w:tcW w:type="dxa" w:w="19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文档编号</w:t>
            </w:r>
          </w:p>
        </w:tc>
        <w:tc>
          <w:tcPr>
            <w:tcW w:type="dxa" w:w="70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AI4B-EM-DS-2026-001</w:t>
            </w:r>
          </w:p>
        </w:tc>
      </w:tr>
      <w:tr>
        <w:tc>
          <w:tcPr>
            <w:tcW w:type="dxa" w:w="19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版本</w:t>
            </w:r>
          </w:p>
        </w:tc>
        <w:tc>
          <w:tcPr>
            <w:tcW w:type="dxa" w:w="7020"/>
            <w:shd w:fill="FFFFFF" w:val="clear"/>
            <w:tcMar>
              <w:top w:type="dxa" w:w="70"/>
              <w:left w:type="dxa" w:w="110"/>
              <w:bottom w:type="dxa" w:w="70"/>
              <w:right w:type="dxa" w:w="110"/>
            </w:tcMar>
            <w:vAlign w:val="center"/>
          </w:tcPr>
          <w:p>
            <w:r>
              <w:t>V0.1.2</w:t>
            </w:r>
          </w:p>
        </w:tc>
      </w:tr>
      <w:tr>
        <w:tc>
          <w:tcPr>
            <w:tcW w:type="dxa" w:w="19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密级</w:t>
            </w:r>
          </w:p>
        </w:tc>
        <w:tc>
          <w:tcPr>
            <w:tcW w:type="dxa" w:w="70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公司内部</w:t>
            </w:r>
          </w:p>
        </w:tc>
      </w:tr>
      <w:tr>
        <w:tc>
          <w:tcPr>
            <w:tcW w:type="dxa" w:w="19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产品形态</w:t>
            </w:r>
          </w:p>
        </w:tc>
        <w:tc>
          <w:tcPr>
            <w:tcW w:type="dxa" w:w="70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FIN Framework Pod 插件，Digital Twin System 组成部分</w:t>
            </w:r>
          </w:p>
        </w:tc>
      </w:tr>
      <w:tr>
        <w:tc>
          <w:tcPr>
            <w:tcW w:type="dxa" w:w="19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Xeto 库</w:t>
            </w:r>
          </w:p>
        </w:tc>
        <w:tc>
          <w:tcPr>
            <w:tcW w:type="dxa" w:w="7020"/>
            <w:shd w:fill="F7FAFC" w:val="clear"/>
            <w:tcMar>
              <w:top w:type="dxa" w:w="70"/>
              <w:left w:type="dxa" w:w="110"/>
              <w:bottom w:type="dxa" w:w="70"/>
              <w:right w:type="dxa" w:w="110"/>
            </w:tcMar>
            <w:vAlign w:val="center"/>
          </w:tcPr>
          <w:p>
            <w:r>
              <w:t>em 0.1.2</w:t>
            </w:r>
          </w:p>
        </w:tc>
      </w:tr>
      <w:tr>
        <w:tc>
          <w:tcPr>
            <w:tcW w:type="dxa" w:w="19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编制单位</w:t>
            </w:r>
          </w:p>
        </w:tc>
        <w:tc>
          <w:tcPr>
            <w:tcW w:type="dxa" w:w="70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西门子中国 · ai4building</w:t>
            </w:r>
          </w:p>
        </w:tc>
      </w:tr>
      <w:tr>
        <w:tc>
          <w:tcPr>
            <w:tcW w:type="dxa" w:w="19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适用范围</w:t>
            </w:r>
          </w:p>
        </w:tc>
        <w:tc>
          <w:tcPr>
            <w:tcW w:type="dxa" w:w="70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公共建筑、商业综合体、园区级建筑群的能耗与碳排管理</w:t>
            </w:r>
          </w:p>
        </w:tc>
      </w:tr>
      <w:tr>
        <w:tc>
          <w:tcPr>
            <w:tcW w:type="dxa" w:w="19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关联文档</w:t>
            </w:r>
          </w:p>
        </w:tc>
        <w:tc>
          <w:tcPr>
            <w:tcW w:type="dxa" w:w="70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CoolMatrix 冷源群控设计说明、heatMatrix 智慧供热设计说明、CoolSim 数字孪生仿真说明</w:t>
            </w:r>
          </w:p>
        </w:tc>
      </w:tr>
    </w:tbl>
    <w:p>
      <w:pPr>
        <w:spacing w:after="240"/>
      </w:pPr>
      <w:r>
        <w:rPr>
          <w:rFonts w:ascii="Microsoft YaHei" w:cs="Microsoft YaHei" w:eastAsia="Microsoft YaHei" w:hAnsi="Microsoft YaHei"/>
          <w:color w:val="1F2933"/>
          <w:sz w:val="21"/>
          <w:szCs w:val="21"/>
        </w:rPr>
        <w:t xml:space="preserve"/>
      </w:r>
    </w:p>
    <w:p>
      <w:pPr>
        <w:pStyle w:val="Heading2"/>
        <w:spacing w:after="120" w:before="260"/>
      </w:pPr>
      <w:r>
        <w:rPr>
          <w:rFonts w:ascii="Microsoft YaHei" w:cs="Microsoft YaHei" w:eastAsia="Microsoft YaHei" w:hAnsi="Microsoft YaHei"/>
          <w:b/>
          <w:bCs/>
          <w:color w:val="0E7C86"/>
          <w:sz w:val="25"/>
          <w:szCs w:val="25"/>
        </w:rPr>
        <w:t xml:space="preserve">修订记录</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080"/>
        <w:gridCol w:w="1620"/>
        <w:gridCol w:w="4680"/>
        <w:gridCol w:w="1620"/>
      </w:tblGrid>
      <w:tr>
        <w:trPr>
          <w:tblHeader/>
        </w:trPr>
        <w:tc>
          <w:tcPr>
            <w:tcW w:type="dxa" w:w="10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版本</w:t>
            </w:r>
          </w:p>
        </w:tc>
        <w:tc>
          <w:tcPr>
            <w:tcW w:type="dxa" w:w="162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日期</w:t>
            </w:r>
          </w:p>
        </w:tc>
        <w:tc>
          <w:tcPr>
            <w:tcW w:type="dxa" w:w="46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修订内容</w:t>
            </w:r>
          </w:p>
        </w:tc>
        <w:tc>
          <w:tcPr>
            <w:tcW w:type="dxa" w:w="162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编制</w:t>
            </w:r>
          </w:p>
        </w:tc>
      </w:tr>
      <w:tr>
        <w:tc>
          <w:tcPr>
            <w:tcW w:type="dxa" w:w="10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V0.1</w:t>
            </w:r>
          </w:p>
        </w:tc>
        <w:tc>
          <w:tcPr>
            <w:tcW w:type="dxa" w:w="16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2026-08</w:t>
            </w:r>
          </w:p>
        </w:tc>
        <w:tc>
          <w:tcPr>
            <w:tcW w:type="dxa" w:w="46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Layer 1 对象与设备数据模型初稿</w:t>
            </w:r>
          </w:p>
        </w:tc>
        <w:tc>
          <w:tcPr>
            <w:tcW w:type="dxa" w:w="16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架构组</w:t>
            </w:r>
          </w:p>
        </w:tc>
      </w:tr>
      <w:tr>
        <w:tc>
          <w:tcPr>
            <w:tcW w:type="dxa" w:w="10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V0.2</w:t>
            </w:r>
          </w:p>
        </w:tc>
        <w:tc>
          <w:tcPr>
            <w:tcW w:type="dxa" w:w="16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2026-08</w:t>
            </w:r>
          </w:p>
        </w:tc>
        <w:tc>
          <w:tcPr>
            <w:tcW w:type="dxa" w:w="46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Layer 2 业务对象模型初稿</w:t>
            </w:r>
          </w:p>
        </w:tc>
        <w:tc>
          <w:tcPr>
            <w:tcW w:type="dxa" w:w="16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架构组</w:t>
            </w:r>
          </w:p>
        </w:tc>
      </w:tr>
      <w:tr>
        <w:tc>
          <w:tcPr>
            <w:tcW w:type="dxa" w:w="10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V1.0</w:t>
            </w:r>
          </w:p>
        </w:tc>
        <w:tc>
          <w:tcPr>
            <w:tcW w:type="dxa" w:w="16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2026-09</w:t>
            </w:r>
          </w:p>
        </w:tc>
        <w:tc>
          <w:tcPr>
            <w:tcW w:type="dxa" w:w="46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两层模型合并，补充审计约束与附录</w:t>
            </w:r>
          </w:p>
        </w:tc>
        <w:tc>
          <w:tcPr>
            <w:tcW w:type="dxa" w:w="16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架构组</w:t>
            </w:r>
          </w:p>
        </w:tc>
      </w:tr>
      <w:tr>
        <w:tc>
          <w:tcPr>
            <w:tcW w:type="dxa" w:w="1080"/>
          </w:tcPr>
          <w:p>
            <w:r>
              <w:t>V0.1.1</w:t>
            </w:r>
          </w:p>
        </w:tc>
        <w:tc>
          <w:tcPr>
            <w:tcW w:type="dxa" w:w="1620"/>
          </w:tcPr>
          <w:p>
            <w:r>
              <w:t>2026-09</w:t>
            </w:r>
          </w:p>
        </w:tc>
        <w:tc>
          <w:tcPr>
            <w:tcW w:type="dxa" w:w="4680"/>
          </w:tcPr>
          <w:p>
            <w:r>
              <w:t>新增能流图（Sankey）界面需求；公司主体变更为西门子中国；版本统一为 0.1.1</w:t>
            </w:r>
          </w:p>
        </w:tc>
        <w:tc>
          <w:tcPr>
            <w:tcW w:type="dxa" w:w="1620"/>
          </w:tcPr>
          <w:p>
            <w:r>
              <w:t>架构组</w:t>
            </w:r>
          </w:p>
        </w:tc>
      </w:tr>
      <w:tr>
        <w:tc>
          <w:tcPr>
            <w:tcW w:type="dxa" w:w="1080"/>
          </w:tcPr>
          <w:p>
            <w:r>
              <w:t>V0.1.2</w:t>
            </w:r>
          </w:p>
        </w:tc>
        <w:tc>
          <w:tcPr>
            <w:tcW w:type="dxa" w:w="1620"/>
          </w:tcPr>
          <w:p>
            <w:r>
              <w:t>2026-09</w:t>
            </w:r>
          </w:p>
        </w:tc>
        <w:tc>
          <w:tcPr>
            <w:tcW w:type="dxa" w:w="4680"/>
          </w:tcPr>
          <w:p>
            <w:r>
              <w:t>新增核心 KPI 考核界面需求（绿色医院评审支撑）；EmSite 增加 emBeds 床位参数且基础参数可在数据模型配置屏在线维护；版本统一为 0.1.2</w:t>
            </w:r>
          </w:p>
        </w:tc>
        <w:tc>
          <w:tcPr>
            <w:tcW w:type="dxa" w:w="1620"/>
          </w:tcPr>
          <w:p>
            <w:r>
              <w:t>架构组</w:t>
            </w:r>
          </w:p>
        </w:tc>
      </w:tr>
    </w:tbl>
    <w:p>
      <w:r>
        <w:br w:type="page"/>
      </w:r>
    </w:p>
    <w:p>
      <w:pPr>
        <w:pStyle w:val="Heading1"/>
        <w:pBdr>
          <w:bottom w:val="single" w:color="1597A5" w:sz="10" w:space="6"/>
        </w:pBdr>
        <w:spacing w:after="160" w:before="320"/>
      </w:pPr>
      <w:r>
        <w:rPr>
          <w:rFonts w:ascii="Microsoft YaHei" w:cs="Microsoft YaHei" w:eastAsia="Microsoft YaHei" w:hAnsi="Microsoft YaHei"/>
          <w:b/>
          <w:bCs/>
          <w:color w:val="0E2A47"/>
          <w:sz w:val="30"/>
          <w:szCs w:val="30"/>
        </w:rPr>
        <w:t xml:space="preserve">目录</w:t>
      </w:r>
    </w:p>
    <w:p>
      <w:pPr>
        <w:tabs>
          <w:tab w:val="right" w:pos="9000" w:leader="dot"/>
        </w:tabs>
        <w:spacing w:after="30" w:before="100" w:line="280"/>
        <w:ind w:left="0"/>
      </w:pPr>
      <w:r>
        <w:rPr>
          <w:rFonts w:ascii="Microsoft YaHei" w:cs="Microsoft YaHei" w:eastAsia="Microsoft YaHei" w:hAnsi="Microsoft YaHei"/>
          <w:b/>
          <w:bCs/>
          <w:color w:val="0E2A47"/>
          <w:sz w:val="20"/>
          <w:szCs w:val="20"/>
        </w:rPr>
        <w:t xml:space="preserve">1  概述</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4</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1.1  编制目的</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4</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1.2  产品定位</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4</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1.3  参考标准与依据</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4</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1.4  术语与缩略语</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5</w:t>
      </w:r>
    </w:p>
    <w:p>
      <w:pPr>
        <w:tabs>
          <w:tab w:val="right" w:pos="9000" w:leader="dot"/>
        </w:tabs>
        <w:spacing w:after="30" w:before="100" w:line="280"/>
        <w:ind w:left="0"/>
      </w:pPr>
      <w:r>
        <w:rPr>
          <w:rFonts w:ascii="Microsoft YaHei" w:cs="Microsoft YaHei" w:eastAsia="Microsoft YaHei" w:hAnsi="Microsoft YaHei"/>
          <w:b/>
          <w:bCs/>
          <w:color w:val="0E2A47"/>
          <w:sz w:val="20"/>
          <w:szCs w:val="20"/>
        </w:rPr>
        <w:t xml:space="preserve">2  总体架构</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6</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2.1  三层语义分层</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6</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2.2  Pod 与 Xeto 库结构</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6</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2.3  命名规范</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6</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2.4  与兄弟产品的职责边界</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7</w:t>
      </w:r>
    </w:p>
    <w:p>
      <w:pPr>
        <w:tabs>
          <w:tab w:val="right" w:pos="9000" w:leader="dot"/>
        </w:tabs>
        <w:spacing w:after="30" w:before="100" w:line="280"/>
        <w:ind w:left="0"/>
      </w:pPr>
      <w:r>
        <w:rPr>
          <w:rFonts w:ascii="Microsoft YaHei" w:cs="Microsoft YaHei" w:eastAsia="Microsoft YaHei" w:hAnsi="Microsoft YaHei"/>
          <w:b/>
          <w:bCs/>
          <w:color w:val="0E2A47"/>
          <w:sz w:val="20"/>
          <w:szCs w:val="20"/>
        </w:rPr>
        <w:t xml:space="preserve">3  Layer 1：对象与设备数据模型</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8</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3.1  建模铁律</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8</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3.2  域一  空间与组织</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8</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3.3  域二  计量</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8</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3.4  域三  供能、产能与储能</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9</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3.5  域四  用能设备</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10</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3.6  点位三层规范</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10</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3.7  分项计量映射</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10</w:t>
      </w:r>
    </w:p>
    <w:p>
      <w:pPr>
        <w:tabs>
          <w:tab w:val="right" w:pos="9000" w:leader="dot"/>
        </w:tabs>
        <w:spacing w:after="30" w:before="100" w:line="280"/>
        <w:ind w:left="0"/>
      </w:pPr>
      <w:r>
        <w:rPr>
          <w:rFonts w:ascii="Microsoft YaHei" w:cs="Microsoft YaHei" w:eastAsia="Microsoft YaHei" w:hAnsi="Microsoft YaHei"/>
          <w:b/>
          <w:bCs/>
          <w:color w:val="0E2A47"/>
          <w:sz w:val="20"/>
          <w:szCs w:val="20"/>
        </w:rPr>
        <w:t xml:space="preserve">4  Layer 2：能源管理业务对象模型</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12</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4.1  建模铁律</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12</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4.2  域五  能耗台账</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12</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4.3  域六  分摊规则引擎</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12</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4.4  域七  费率、合约与账单</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13</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4.5  域八  指标体系与定额</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13</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4.6  域九  基线与节能量核证</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14</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4.7  域十  碳资产</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14</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4.8  域十一  诊断与闭环</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15</w:t>
      </w:r>
    </w:p>
    <w:p>
      <w:pPr>
        <w:tabs>
          <w:tab w:val="right" w:pos="9000" w:leader="dot"/>
        </w:tabs>
        <w:spacing w:after="30" w:before="30" w:line="280"/>
        <w:ind w:left="360"/>
      </w:pPr>
      <w:r>
        <w:rPr>
          <w:rFonts w:ascii="Microsoft YaHei" w:cs="Microsoft YaHei" w:eastAsia="Microsoft YaHei" w:hAnsi="Microsoft YaHei"/>
          <w:b w:val="false"/>
          <w:bCs w:val="false"/>
          <w:color w:val="1F2933"/>
          <w:sz w:val="19"/>
          <w:szCs w:val="19"/>
        </w:rPr>
        <w:t xml:space="preserve">4.9  端到端数据流</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16</w:t>
      </w:r>
    </w:p>
    <w:p>
      <w:pPr>
        <w:tabs>
          <w:tab w:val="right" w:pos="9000" w:leader="dot"/>
        </w:tabs>
        <w:spacing w:after="30" w:before="100" w:line="280"/>
        <w:ind w:left="0"/>
      </w:pPr>
      <w:r>
        <w:rPr>
          <w:rFonts w:ascii="Microsoft YaHei" w:cs="Microsoft YaHei" w:eastAsia="Microsoft YaHei" w:hAnsi="Microsoft YaHei"/>
          <w:b/>
          <w:bCs/>
          <w:color w:val="0E2A47"/>
          <w:sz w:val="20"/>
          <w:szCs w:val="20"/>
        </w:rPr>
        <w:t xml:space="preserve">5  数据完整性与审计约束</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17</w:t>
      </w:r>
    </w:p>
    <w:p>
      <w:pPr>
        <w:tabs>
          <w:tab w:val="right" w:pos="9000" w:leader="dot"/>
        </w:tabs>
        <w:spacing w:after="30" w:before="100" w:line="280"/>
        <w:ind w:left="0"/>
      </w:pPr>
      <w:r>
        <w:rPr>
          <w:rFonts w:ascii="Microsoft YaHei" w:cs="Microsoft YaHei" w:eastAsia="Microsoft YaHei" w:hAnsi="Microsoft YaHei"/>
          <w:b/>
          <w:bCs/>
          <w:color w:val="0E2A47"/>
          <w:sz w:val="20"/>
          <w:szCs w:val="20"/>
        </w:rPr>
        <w:t xml:space="preserve">6  待决事项</w:t>
      </w:r>
      <w:r>
        <w:rPr>
          <w:rFonts w:ascii="Microsoft YaHei" w:cs="Microsoft YaHei" w:eastAsia="Microsoft YaHei" w:hAnsi="Microsoft YaHei"/>
          <w:sz w:val="19"/>
          <w:szCs w:val="19"/>
        </w:rPr>
        <w:tab/>
      </w:r>
      <w:r>
        <w:rPr>
          <w:rFonts w:ascii="Consolas" w:cs="Consolas" w:eastAsia="Consolas" w:hAnsi="Consolas"/>
          <w:color w:val="5B6B7A"/>
          <w:sz w:val="18"/>
          <w:szCs w:val="18"/>
        </w:rPr>
        <w:t xml:space="preserve">18</w:t>
      </w:r>
    </w:p>
    <w:p>
      <w:r>
        <w:rPr>
          <w:rFonts w:ascii="Microsoft YaHei" w:cs="Microsoft YaHei" w:eastAsia="Microsoft YaHei" w:hAnsi="Microsoft YaHei"/>
          <w:b/>
          <w:bCs/>
          <w:color w:val="0E2A47"/>
          <w:sz w:val="20"/>
          <w:szCs w:val="20"/>
        </w:rPr>
        <w:t>7  可视化与界面需求</w:t>
        <w:tab/>
        <w:t>19</w:t>
      </w:r>
    </w:p>
    <w:p>
      <w:r>
        <w:rPr>
          <w:rFonts w:ascii="Microsoft YaHei" w:cs="Microsoft YaHei" w:eastAsia="Microsoft YaHei" w:hAnsi="Microsoft YaHei"/>
          <w:b/>
          <w:bCs/>
          <w:color w:val="0E2A47"/>
          <w:sz w:val="20"/>
          <w:szCs w:val="20"/>
        </w:rPr>
        <w:t>7.1  能流图（Sankey）</w:t>
        <w:tab/>
        <w:t>19</w:t>
      </w:r>
    </w:p>
    <w:p>
      <w:r>
        <w:rPr>
          <w:rFonts w:ascii="Microsoft YaHei" w:cs="Microsoft YaHei" w:eastAsia="Microsoft YaHei" w:hAnsi="Microsoft YaHei"/>
          <w:b/>
          <w:bCs/>
          <w:color w:val="0E2A47"/>
          <w:sz w:val="20"/>
          <w:szCs w:val="20"/>
        </w:rPr>
        <w:t>7.2  核心 KPI 考核（绿色医院评审支撑）</w:t>
        <w:tab/>
        <w:t>19</w:t>
      </w:r>
    </w:p>
    <w:p>
      <w:pPr>
        <w:tabs>
          <w:tab w:val="right" w:pos="9000" w:leader="dot"/>
        </w:tabs>
        <w:spacing w:after="30" w:before="100" w:line="280"/>
        <w:ind w:left="0"/>
      </w:pPr>
      <w:r>
        <w:rPr>
          <w:rFonts w:ascii="Microsoft YaHei" w:cs="Microsoft YaHei" w:eastAsia="Microsoft YaHei" w:hAnsi="Microsoft YaHei"/>
          <w:b/>
          <w:bCs/>
          <w:color w:val="0E2A47"/>
          <w:sz w:val="20"/>
          <w:szCs w:val="20"/>
        </w:rPr>
        <w:t>附录 A  Xeto 库文件清单</w:t>
        <w:tab/>
        <w:t>20</w:t>
      </w:r>
      <w:r>
        <w:rPr>
          <w:rFonts w:ascii="Microsoft YaHei" w:cs="Microsoft YaHei" w:eastAsia="Microsoft YaHei" w:hAnsi="Microsoft YaHei"/>
          <w:sz w:val="19"/>
          <w:szCs w:val="19"/>
        </w:rPr>
      </w:r>
      <w:r>
        <w:rPr>
          <w:rFonts w:ascii="Consolas" w:cs="Consolas" w:eastAsia="Consolas" w:hAnsi="Consolas"/>
          <w:color w:val="5B6B7A"/>
          <w:sz w:val="18"/>
          <w:szCs w:val="18"/>
        </w:rPr>
      </w:r>
    </w:p>
    <w:p>
      <w:pPr>
        <w:tabs>
          <w:tab w:val="right" w:pos="9000" w:leader="dot"/>
        </w:tabs>
        <w:spacing w:after="30" w:before="100" w:line="280"/>
        <w:ind w:left="0"/>
      </w:pPr>
      <w:r>
        <w:rPr>
          <w:rFonts w:ascii="Microsoft YaHei" w:cs="Microsoft YaHei" w:eastAsia="Microsoft YaHei" w:hAnsi="Microsoft YaHei"/>
          <w:b/>
          <w:bCs/>
          <w:color w:val="0E2A47"/>
          <w:sz w:val="20"/>
          <w:szCs w:val="20"/>
        </w:rPr>
        <w:t>附录 B  对象速查表</w:t>
        <w:tab/>
        <w:t>21</w:t>
      </w:r>
      <w:r>
        <w:rPr>
          <w:rFonts w:ascii="Microsoft YaHei" w:cs="Microsoft YaHei" w:eastAsia="Microsoft YaHei" w:hAnsi="Microsoft YaHei"/>
          <w:sz w:val="19"/>
          <w:szCs w:val="19"/>
        </w:rPr>
      </w:r>
      <w:r>
        <w:rPr>
          <w:rFonts w:ascii="Consolas" w:cs="Consolas" w:eastAsia="Consolas" w:hAnsi="Consolas"/>
          <w:color w:val="5B6B7A"/>
          <w:sz w:val="18"/>
          <w:szCs w:val="18"/>
        </w:rPr>
      </w:r>
    </w:p>
    <w:p>
      <w:pPr>
        <w:tabs>
          <w:tab w:val="right" w:pos="9000" w:leader="dot"/>
        </w:tabs>
        <w:spacing w:after="30" w:before="100" w:line="280"/>
        <w:ind w:left="0"/>
      </w:pPr>
      <w:r>
        <w:rPr>
          <w:rFonts w:ascii="Microsoft YaHei" w:cs="Microsoft YaHei" w:eastAsia="Microsoft YaHei" w:hAnsi="Microsoft YaHei"/>
          <w:b/>
          <w:bCs/>
          <w:color w:val="0E2A47"/>
          <w:sz w:val="20"/>
          <w:szCs w:val="20"/>
        </w:rPr>
        <w:t>附录 C  枚举值全集</w:t>
        <w:tab/>
        <w:t>22</w:t>
      </w:r>
      <w:r>
        <w:rPr>
          <w:rFonts w:ascii="Microsoft YaHei" w:cs="Microsoft YaHei" w:eastAsia="Microsoft YaHei" w:hAnsi="Microsoft YaHei"/>
          <w:sz w:val="19"/>
          <w:szCs w:val="19"/>
        </w:rPr>
      </w:r>
      <w:r>
        <w:rPr>
          <w:rFonts w:ascii="Consolas" w:cs="Consolas" w:eastAsia="Consolas" w:hAnsi="Consolas"/>
          <w:color w:val="5B6B7A"/>
          <w:sz w:val="18"/>
          <w:szCs w:val="18"/>
        </w:rPr>
      </w:r>
    </w:p>
    <w:p>
      <w:pPr>
        <w:pStyle w:val="Heading1"/>
        <w:pageBreakBefore/>
        <w:pBdr>
          <w:bottom w:val="single" w:color="1597A5" w:sz="10" w:space="6"/>
        </w:pBdr>
        <w:spacing w:after="160" w:before="320"/>
      </w:pPr>
      <w:r>
        <w:rPr>
          <w:rFonts w:ascii="Microsoft YaHei" w:cs="Microsoft YaHei" w:eastAsia="Microsoft YaHei" w:hAnsi="Microsoft YaHei"/>
          <w:b/>
          <w:bCs/>
          <w:color w:val="0E2A47"/>
          <w:sz w:val="30"/>
          <w:szCs w:val="30"/>
        </w:rPr>
        <w:t xml:space="preserve">1  概述</w:t>
      </w:r>
    </w:p>
    <w:p>
      <w:pPr>
        <w:pStyle w:val="Heading2"/>
        <w:spacing w:after="120" w:before="260"/>
      </w:pPr>
      <w:r>
        <w:rPr>
          <w:rFonts w:ascii="Microsoft YaHei" w:cs="Microsoft YaHei" w:eastAsia="Microsoft YaHei" w:hAnsi="Microsoft YaHei"/>
          <w:b/>
          <w:bCs/>
          <w:color w:val="0E7C86"/>
          <w:sz w:val="25"/>
          <w:szCs w:val="25"/>
        </w:rPr>
        <w:t xml:space="preserve">1.1  编制目的</w:t>
      </w:r>
    </w:p>
    <w:p>
      <w:pPr>
        <w:spacing w:after="120" w:before="60" w:line="300"/>
      </w:pPr>
      <w:r>
        <w:rPr>
          <w:rFonts w:ascii="Microsoft YaHei" w:cs="Microsoft YaHei" w:eastAsia="Microsoft YaHei" w:hAnsi="Microsoft YaHei"/>
          <w:color w:val="1F2933"/>
          <w:sz w:val="21"/>
          <w:szCs w:val="21"/>
        </w:rPr>
        <w:t xml:space="preserve">本文档定义 energyMatrix 建筑能源管理系统的语义数据模型，是后续计算引擎开发、点表交底、前端实现与第三方系统对接的唯一模型依据。</w:t>
      </w:r>
    </w:p>
    <w:p>
      <w:pPr>
        <w:spacing w:after="120" w:before="60" w:line="300"/>
      </w:pPr>
      <w:r>
        <w:rPr>
          <w:rFonts w:ascii="Microsoft YaHei" w:cs="Microsoft YaHei" w:eastAsia="Microsoft YaHei" w:hAnsi="Microsoft YaHei"/>
          <w:color w:val="1F2933"/>
          <w:sz w:val="21"/>
          <w:szCs w:val="21"/>
        </w:rPr>
        <w:t xml:space="preserve">模型分两层交付：Layer 1 描述客观存在的物理对象与设备，回答“建筑里有什么、装了哪些表、采了哪些点”；Layer 2 描述能源管理的业务对象，回答“用了多少、谁用的、花多少钱、排多少碳、省了多少”。两层之间以能耗台账（EmLedgerEntry）为唯一桥梁。</w:t>
      </w:r>
    </w:p>
    <w:p>
      <w:pPr>
        <w:spacing w:after="120" w:before="60" w:line="300"/>
      </w:pPr>
      <w:r>
        <w:rPr>
          <w:rFonts w:ascii="Microsoft YaHei" w:cs="Microsoft YaHei" w:eastAsia="Microsoft YaHei" w:hAnsi="Microsoft YaHei"/>
          <w:color w:val="1F2933"/>
          <w:sz w:val="21"/>
          <w:szCs w:val="21"/>
        </w:rPr>
        <w:t xml:space="preserve">本文档不涉及控制逻辑、AI 寻优算法与前端交互设计，这些内容分别由 CoolMatrix、heatMatrix 与 energyMatrix 界面设计说明覆盖。</w:t>
      </w:r>
    </w:p>
    <w:p>
      <w:pPr>
        <w:pStyle w:val="Heading2"/>
        <w:spacing w:after="120" w:before="260"/>
      </w:pPr>
      <w:r>
        <w:rPr>
          <w:rFonts w:ascii="Microsoft YaHei" w:cs="Microsoft YaHei" w:eastAsia="Microsoft YaHei" w:hAnsi="Microsoft YaHei"/>
          <w:b/>
          <w:bCs/>
          <w:color w:val="0E7C86"/>
          <w:sz w:val="25"/>
          <w:szCs w:val="25"/>
        </w:rPr>
        <w:t xml:space="preserve">1.2  产品定位</w:t>
      </w:r>
    </w:p>
    <w:p>
      <w:pPr>
        <w:spacing w:after="120" w:before="60" w:line="300"/>
      </w:pPr>
      <w:r>
        <w:rPr>
          <w:rFonts w:ascii="Microsoft YaHei" w:cs="Microsoft YaHei" w:eastAsia="Microsoft YaHei" w:hAnsi="Microsoft YaHei"/>
          <w:color w:val="1F2933"/>
          <w:sz w:val="21"/>
          <w:szCs w:val="21"/>
        </w:rPr>
        <w:t xml:space="preserve">energyMatrix 以 FIN Framework Pod 插件形式部署，数据存于本地 Folio，不依赖外部云服务。它与 CoolMatrix（冷源群控）、heatMatrix（智慧供热）、CoolSim（数字孪生仿真）构成同一 Digital Twin System 的四个组件，共享 Project Haystack / Xeto 语义底座。</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2340"/>
        <w:gridCol w:w="6660"/>
      </w:tblGrid>
      <w:tr>
        <w:trPr>
          <w:tblHeader/>
        </w:trPr>
        <w:tc>
          <w:tcPr>
            <w:tcW w:type="dxa" w:w="234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项</w:t>
            </w:r>
          </w:p>
        </w:tc>
        <w:tc>
          <w:tcPr>
            <w:tcW w:type="dxa" w:w="666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取值</w:t>
            </w:r>
          </w:p>
        </w:tc>
      </w:tr>
      <w:tr>
        <w:tc>
          <w:tcPr>
            <w:tcW w:type="dxa" w:w="23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Pod 名</w:t>
            </w:r>
          </w:p>
        </w:tc>
        <w:tc>
          <w:tcPr>
            <w:tcW w:type="dxa" w:w="66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energyMatrix</w:t>
            </w:r>
          </w:p>
        </w:tc>
      </w:tr>
      <w:tr>
        <w:tc>
          <w:tcPr>
            <w:tcW w:type="dxa" w:w="23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Xeto 库</w:t>
            </w:r>
          </w:p>
        </w:tc>
        <w:tc>
          <w:tcPr>
            <w:tcW w:type="dxa" w:w="66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w:t>
            </w:r>
          </w:p>
        </w:tc>
      </w:tr>
      <w:tr>
        <w:tc>
          <w:tcPr>
            <w:tcW w:type="dxa" w:w="23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Axon 函数前缀</w:t>
            </w:r>
          </w:p>
        </w:tc>
        <w:tc>
          <w:tcPr>
            <w:tcW w:type="dxa" w:w="66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w:t>
            </w:r>
          </w:p>
        </w:tc>
      </w:tr>
      <w:tr>
        <w:tc>
          <w:tcPr>
            <w:tcW w:type="dxa" w:w="23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全局 marker</w:t>
            </w:r>
          </w:p>
        </w:tc>
        <w:tc>
          <w:tcPr>
            <w:tcW w:type="dxa" w:w="66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energyMatrix</w:t>
            </w:r>
          </w:p>
        </w:tc>
      </w:tr>
      <w:tr>
        <w:tc>
          <w:tcPr>
            <w:tcW w:type="dxa" w:w="23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依赖库</w:t>
            </w:r>
          </w:p>
        </w:tc>
        <w:tc>
          <w:tcPr>
            <w:tcW w:type="dxa" w:w="66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sys、ph、ph.points、ph.equips</w:t>
            </w:r>
          </w:p>
        </w:tc>
      </w:tr>
      <w:tr>
        <w:tc>
          <w:tcPr>
            <w:tcW w:type="dxa" w:w="23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数据存储</w:t>
            </w:r>
          </w:p>
        </w:tc>
        <w:tc>
          <w:tcPr>
            <w:tcW w:type="dxa" w:w="66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Folio（本地）</w:t>
            </w:r>
          </w:p>
        </w:tc>
      </w:tr>
      <w:tr>
        <w:tc>
          <w:tcPr>
            <w:tcW w:type="dxa" w:w="23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运行环境</w:t>
            </w:r>
          </w:p>
        </w:tc>
        <w:tc>
          <w:tcPr>
            <w:tcW w:type="dxa" w:w="66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FIN Framework 5.x / Haxall，Fantom 运行时</w:t>
            </w:r>
          </w:p>
        </w:tc>
      </w:tr>
    </w:tbl>
    <w:p>
      <w:pPr>
        <w:spacing w:after="200" w:before="80"/>
        <w:jc w:val="center"/>
      </w:pPr>
      <w:r>
        <w:rPr>
          <w:rFonts w:ascii="Microsoft YaHei" w:cs="Microsoft YaHei" w:eastAsia="Microsoft YaHei" w:hAnsi="Microsoft YaHei"/>
          <w:color w:val="5B6B7A"/>
          <w:sz w:val="17"/>
          <w:szCs w:val="17"/>
        </w:rPr>
        <w:t xml:space="preserve">表 1-1  产品形态与运行环境</w:t>
      </w:r>
    </w:p>
    <w:p>
      <w:pPr>
        <w:pStyle w:val="Heading2"/>
        <w:spacing w:after="120" w:before="260"/>
      </w:pPr>
      <w:r>
        <w:rPr>
          <w:rFonts w:ascii="Microsoft YaHei" w:cs="Microsoft YaHei" w:eastAsia="Microsoft YaHei" w:hAnsi="Microsoft YaHei"/>
          <w:b/>
          <w:bCs/>
          <w:color w:val="0E7C86"/>
          <w:sz w:val="25"/>
          <w:szCs w:val="25"/>
        </w:rPr>
        <w:t xml:space="preserve">1.3  参考标准与依据</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260"/>
        <w:gridCol w:w="3960"/>
        <w:gridCol w:w="3780"/>
      </w:tblGrid>
      <w:tr>
        <w:trPr>
          <w:tblHeader/>
        </w:trPr>
        <w:tc>
          <w:tcPr>
            <w:tcW w:type="dxa" w:w="126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类别</w:t>
            </w:r>
          </w:p>
        </w:tc>
        <w:tc>
          <w:tcPr>
            <w:tcW w:type="dxa" w:w="396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标准或文件</w:t>
            </w:r>
          </w:p>
        </w:tc>
        <w:tc>
          <w:tcPr>
            <w:tcW w:type="dxa" w:w="37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在本模型中的作用</w:t>
            </w:r>
          </w:p>
        </w:tc>
      </w:tr>
      <w:tr>
        <w:tc>
          <w:tcPr>
            <w:tcW w:type="dxa" w:w="12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语义标准</w:t>
            </w:r>
          </w:p>
        </w:tc>
        <w:tc>
          <w:tcPr>
            <w:tcW w:type="dxa" w:w="39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Project Haystack 4.0 / 5.0（Xeto）</w:t>
            </w:r>
          </w:p>
        </w:tc>
        <w:tc>
          <w:tcPr>
            <w:tcW w:type="dxa" w:w="37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对象、设备、点位的基础本体</w:t>
            </w:r>
          </w:p>
        </w:tc>
      </w:tr>
      <w:tr>
        <w:tc>
          <w:tcPr>
            <w:tcW w:type="dxa" w:w="126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分项计量</w:t>
            </w:r>
          </w:p>
        </w:tc>
        <w:tc>
          <w:tcPr>
            <w:tcW w:type="dxa" w:w="396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《国家机关办公建筑和大型公共建筑能耗监测系统分项能耗数据采集技术导则》</w:t>
            </w:r>
          </w:p>
        </w:tc>
        <w:tc>
          <w:tcPr>
            <w:tcW w:type="dxa" w:w="37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EmSubItem 枚举 A1–D6 的划分依据</w:t>
            </w:r>
          </w:p>
        </w:tc>
      </w:tr>
      <w:tr>
        <w:tc>
          <w:tcPr>
            <w:tcW w:type="dxa" w:w="12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能耗指标</w:t>
            </w:r>
          </w:p>
        </w:tc>
        <w:tc>
          <w:tcPr>
            <w:tcW w:type="dxa" w:w="39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GB/T 51161-2016 民用建筑能耗标准</w:t>
            </w:r>
          </w:p>
        </w:tc>
        <w:tc>
          <w:tcPr>
            <w:tcW w:type="dxa" w:w="37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EUI 约束值与定额来源</w:t>
            </w:r>
          </w:p>
        </w:tc>
      </w:tr>
      <w:tr>
        <w:tc>
          <w:tcPr>
            <w:tcW w:type="dxa" w:w="126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节能量核证</w:t>
            </w:r>
          </w:p>
        </w:tc>
        <w:tc>
          <w:tcPr>
            <w:tcW w:type="dxa" w:w="396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IPMVP Core Concepts / ASHRAE Guideline 14</w:t>
            </w:r>
          </w:p>
        </w:tc>
        <w:tc>
          <w:tcPr>
            <w:tcW w:type="dxa" w:w="37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EmBaseline 与 EmSavingsProject 的方法学</w:t>
            </w:r>
          </w:p>
        </w:tc>
      </w:tr>
      <w:tr>
        <w:tc>
          <w:tcPr>
            <w:tcW w:type="dxa" w:w="12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碳核算</w:t>
            </w:r>
          </w:p>
        </w:tc>
        <w:tc>
          <w:tcPr>
            <w:tcW w:type="dxa" w:w="39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GB/T 2589-2020 综合能耗计算通则</w:t>
            </w:r>
          </w:p>
        </w:tc>
        <w:tc>
          <w:tcPr>
            <w:tcW w:type="dxa" w:w="37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折标煤系数</w:t>
            </w:r>
          </w:p>
        </w:tc>
      </w:tr>
      <w:tr>
        <w:tc>
          <w:tcPr>
            <w:tcW w:type="dxa" w:w="126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碳因子</w:t>
            </w:r>
          </w:p>
        </w:tc>
        <w:tc>
          <w:tcPr>
            <w:tcW w:type="dxa" w:w="396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生态环境部电力二氧化碳排放因子公告</w:t>
            </w:r>
          </w:p>
        </w:tc>
        <w:tc>
          <w:tcPr>
            <w:tcW w:type="dxa" w:w="37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Scope 2 排放因子来源</w:t>
            </w:r>
          </w:p>
        </w:tc>
      </w:tr>
      <w:tr>
        <w:tc>
          <w:tcPr>
            <w:tcW w:type="dxa" w:w="12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建筑碳排</w:t>
            </w:r>
          </w:p>
        </w:tc>
        <w:tc>
          <w:tcPr>
            <w:tcW w:type="dxa" w:w="39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GB/T 51366-2019 建筑碳排放计算标准</w:t>
            </w:r>
          </w:p>
        </w:tc>
        <w:tc>
          <w:tcPr>
            <w:tcW w:type="dxa" w:w="37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热力等介质因子来源</w:t>
            </w:r>
          </w:p>
        </w:tc>
      </w:tr>
    </w:tbl>
    <w:p>
      <w:pPr>
        <w:spacing w:after="200" w:before="80"/>
        <w:jc w:val="center"/>
      </w:pPr>
      <w:r>
        <w:rPr>
          <w:rFonts w:ascii="Microsoft YaHei" w:cs="Microsoft YaHei" w:eastAsia="Microsoft YaHei" w:hAnsi="Microsoft YaHei"/>
          <w:color w:val="5B6B7A"/>
          <w:sz w:val="17"/>
          <w:szCs w:val="17"/>
        </w:rPr>
        <w:t xml:space="preserve">表 1-2  参考标准与依据</w:t>
      </w:r>
    </w:p>
    <w:p>
      <w:pPr>
        <w:pStyle w:val="Heading2"/>
        <w:spacing w:after="120" w:before="260"/>
      </w:pPr>
      <w:r>
        <w:rPr>
          <w:rFonts w:ascii="Microsoft YaHei" w:cs="Microsoft YaHei" w:eastAsia="Microsoft YaHei" w:hAnsi="Microsoft YaHei"/>
          <w:b/>
          <w:bCs/>
          <w:color w:val="0E7C86"/>
          <w:sz w:val="25"/>
          <w:szCs w:val="25"/>
        </w:rPr>
        <w:t xml:space="preserve">1.4  术语与缩略语</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800"/>
        <w:gridCol w:w="7200"/>
      </w:tblGrid>
      <w:tr>
        <w:trPr>
          <w:tblHeader/>
        </w:trPr>
        <w:tc>
          <w:tcPr>
            <w:tcW w:type="dxa" w:w="180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术语</w:t>
            </w:r>
          </w:p>
        </w:tc>
        <w:tc>
          <w:tcPr>
            <w:tcW w:type="dxa" w:w="720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说明</w:t>
            </w:r>
          </w:p>
        </w:tc>
      </w:tr>
      <w:tr>
        <w:tc>
          <w:tcPr>
            <w:tcW w:type="dxa" w:w="18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Xeto</w:t>
            </w:r>
          </w:p>
        </w:tc>
        <w:tc>
          <w:tcPr>
            <w:tcW w:type="dxa" w:w="72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Project Haystack 5.0 引入的规格描述语言，用类型化的 spec 约束数据模型</w:t>
            </w:r>
          </w:p>
        </w:tc>
      </w:tr>
      <w:tr>
        <w:tc>
          <w:tcPr>
            <w:tcW w:type="dxa" w:w="18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Folio</w:t>
            </w:r>
          </w:p>
        </w:tc>
        <w:tc>
          <w:tcPr>
            <w:tcW w:type="dxa" w:w="72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FIN Framework 的内置对象数据库，存储 rec 与历史</w:t>
            </w:r>
          </w:p>
        </w:tc>
      </w:tr>
      <w:tr>
        <w:tc>
          <w:tcPr>
            <w:tcW w:type="dxa" w:w="18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台账条目</w:t>
            </w:r>
          </w:p>
        </w:tc>
        <w:tc>
          <w:tcPr>
            <w:tcW w:type="dxa" w:w="72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EmLedgerEntry，某表某账期的用量账目，关账后不可变</w:t>
            </w:r>
          </w:p>
        </w:tc>
      </w:tr>
      <w:tr>
        <w:tc>
          <w:tcPr>
            <w:tcW w:type="dxa" w:w="18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缺口量</w:t>
            </w:r>
          </w:p>
        </w:tc>
        <w:tc>
          <w:tcPr>
            <w:tcW w:type="dxa" w:w="72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总表读数减去各分表之和的差值，本模型强制显式建模，不得摊入任一分项</w:t>
            </w:r>
          </w:p>
        </w:tc>
      </w:tr>
      <w:tr>
        <w:tc>
          <w:tcPr>
            <w:tcW w:type="dxa" w:w="18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虚拟表</w:t>
            </w:r>
          </w:p>
        </w:tc>
        <w:tc>
          <w:tcPr>
            <w:tcW w:type="dxa" w:w="72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由公式导出的计量对象，与物理表在模型层同构</w:t>
            </w:r>
          </w:p>
        </w:tc>
      </w:tr>
      <w:tr>
        <w:tc>
          <w:tcPr>
            <w:tcW w:type="dxa" w:w="18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红冲</w:t>
            </w:r>
          </w:p>
        </w:tc>
        <w:tc>
          <w:tcPr>
            <w:tcW w:type="dxa" w:w="72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以负数条目冲销已入账错误条目的修正方式，原条目保留不删</w:t>
            </w:r>
          </w:p>
        </w:tc>
      </w:tr>
      <w:tr>
        <w:tc>
          <w:tcPr>
            <w:tcW w:type="dxa" w:w="18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IPMVP</w:t>
            </w:r>
          </w:p>
        </w:tc>
        <w:tc>
          <w:tcPr>
            <w:tcW w:type="dxa" w:w="72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国际节能效果测量和验证规程</w:t>
            </w:r>
          </w:p>
        </w:tc>
      </w:tr>
      <w:tr>
        <w:tc>
          <w:tcPr>
            <w:tcW w:type="dxa" w:w="18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EUI</w:t>
            </w:r>
          </w:p>
        </w:tc>
        <w:tc>
          <w:tcPr>
            <w:tcW w:type="dxa" w:w="72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Energy Use Intensity，单位面积能耗强度</w:t>
            </w:r>
          </w:p>
        </w:tc>
      </w:tr>
      <w:tr>
        <w:tc>
          <w:tcPr>
            <w:tcW w:type="dxa" w:w="18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Scope 1 / 2 / 3</w:t>
            </w:r>
          </w:p>
        </w:tc>
        <w:tc>
          <w:tcPr>
            <w:tcW w:type="dxa" w:w="72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温室气体核算体系中的直接排放、外购能源间接排放与其他间接排放</w:t>
            </w:r>
          </w:p>
        </w:tc>
      </w:tr>
    </w:tbl>
    <w:p>
      <w:pPr>
        <w:spacing w:after="200" w:before="80"/>
        <w:jc w:val="center"/>
      </w:pPr>
      <w:r>
        <w:rPr>
          <w:rFonts w:ascii="Microsoft YaHei" w:cs="Microsoft YaHei" w:eastAsia="Microsoft YaHei" w:hAnsi="Microsoft YaHei"/>
          <w:color w:val="5B6B7A"/>
          <w:sz w:val="17"/>
          <w:szCs w:val="17"/>
        </w:rPr>
        <w:t xml:space="preserve">表 1-3  术语与缩略语</w:t>
      </w:r>
    </w:p>
    <w:p>
      <w:pPr>
        <w:pStyle w:val="Heading1"/>
        <w:pageBreakBefore/>
        <w:pBdr>
          <w:bottom w:val="single" w:color="1597A5" w:sz="10" w:space="6"/>
        </w:pBdr>
        <w:spacing w:after="160" w:before="320"/>
      </w:pPr>
      <w:r>
        <w:rPr>
          <w:rFonts w:ascii="Microsoft YaHei" w:cs="Microsoft YaHei" w:eastAsia="Microsoft YaHei" w:hAnsi="Microsoft YaHei"/>
          <w:b/>
          <w:bCs/>
          <w:color w:val="0E2A47"/>
          <w:sz w:val="30"/>
          <w:szCs w:val="30"/>
        </w:rPr>
        <w:t xml:space="preserve">2  总体架构</w:t>
      </w:r>
    </w:p>
    <w:p>
      <w:pPr>
        <w:pStyle w:val="Heading2"/>
        <w:spacing w:after="120" w:before="260"/>
      </w:pPr>
      <w:r>
        <w:rPr>
          <w:rFonts w:ascii="Microsoft YaHei" w:cs="Microsoft YaHei" w:eastAsia="Microsoft YaHei" w:hAnsi="Microsoft YaHei"/>
          <w:b/>
          <w:bCs/>
          <w:color w:val="0E7C86"/>
          <w:sz w:val="25"/>
          <w:szCs w:val="25"/>
        </w:rPr>
        <w:t xml:space="preserve">2.1  三层语义分层</w:t>
      </w:r>
    </w:p>
    <w:p>
      <w:pPr>
        <w:spacing w:after="120" w:before="60" w:line="300"/>
      </w:pPr>
      <w:r>
        <w:rPr>
          <w:rFonts w:ascii="Microsoft YaHei" w:cs="Microsoft YaHei" w:eastAsia="Microsoft YaHei" w:hAnsi="Microsoft YaHei"/>
          <w:color w:val="1F2933"/>
          <w:sz w:val="21"/>
          <w:szCs w:val="21"/>
        </w:rPr>
        <w:t xml:space="preserve">模型自下而上分为三层，每层只依赖下层，不允许反向依赖：</w:t>
      </w:r>
    </w:p>
    <w:tbl>
      <w:tblPr>
        <w:tblW w:type="dxa" w:w="9000"/>
        <w:tblBorders>
          <w:top w:val="single" w:color="D5E0E8" w:sz="4"/>
          <w:left w:val="single" w:color="D5E0E8" w:sz="4"/>
          <w:bottom w:val="single" w:color="D5E0E8" w:sz="4"/>
          <w:right w:val="single" w:color="D5E0E8" w:sz="4"/>
          <w:insideH w:val="none"/>
          <w:insideV w:val="none"/>
        </w:tblBorders>
      </w:tblPr>
      <w:tblGrid>
        <w:gridCol w:w="9000"/>
      </w:tblGrid>
      <w:tr>
        <w:trPr>
          <w:cantSplit/>
        </w:trPr>
        <w:tc>
          <w:tcPr>
            <w:tcW w:type="dxa" w:w="9000"/>
            <w:shd w:fill="F1F5F8" w:val="clear"/>
            <w:tcMar>
              <w:top w:type="dxa" w:w="140"/>
              <w:left w:type="dxa" w:w="180"/>
              <w:bottom w:type="dxa" w:w="140"/>
              <w:right w:type="dxa" w:w="180"/>
            </w:tcMar>
          </w:tcPr>
          <w:p>
            <w:pPr>
              <w:spacing w:after="0" w:before="0" w:line="250"/>
            </w:pPr>
            <w:r>
              <w:rPr>
                <w:rFonts w:ascii="Consolas" w:cs="Consolas" w:eastAsia="Consolas" w:hAnsi="Consolas"/>
                <w:color w:val="20323F"/>
                <w:sz w:val="17"/>
                <w:szCs w:val="17"/>
              </w:rPr>
              <w:t xml:space="preserve">L0  语义底座    ph · ph.points · ph.equips</w:t>
            </w:r>
          </w:p>
          <w:p>
            <w:pPr>
              <w:spacing w:after="0" w:before="0" w:line="250"/>
            </w:pPr>
            <w:r>
              <w:rPr>
                <w:rFonts w:ascii="Consolas" w:cs="Consolas" w:eastAsia="Consolas" w:hAnsi="Consolas"/>
                <w:color w:val="20323F"/>
                <w:sz w:val="17"/>
                <w:szCs w:val="17"/>
              </w:rPr>
              <w:t xml:space="preserve">                Haystack 官方本体，不做任何修改</w:t>
            </w:r>
          </w:p>
          <w:p>
            <w:pPr>
              <w:spacing w:after="0" w:before="0" w:line="250"/>
            </w:pPr>
            <w:r>
              <w:rPr>
                <w:rFonts w:ascii="Consolas" w:cs="Consolas" w:eastAsia="Consolas" w:hAnsi="Consolas"/>
                <w:color w:val="20323F"/>
                <w:sz w:val="17"/>
                <w:szCs w:val="17"/>
              </w:rPr>
              <w:t xml:space="preserve"> </w:t>
            </w:r>
          </w:p>
          <w:p>
            <w:pPr>
              <w:spacing w:after="0" w:before="0" w:line="250"/>
            </w:pPr>
            <w:r>
              <w:rPr>
                <w:rFonts w:ascii="Consolas" w:cs="Consolas" w:eastAsia="Consolas" w:hAnsi="Consolas"/>
                <w:color w:val="20323F"/>
                <w:sz w:val="17"/>
                <w:szCs w:val="17"/>
              </w:rPr>
              <w:t xml:space="preserve">L1  对象与设备  em::spaces · em::meters · em::supply · em::loads · em::points</w:t>
            </w:r>
          </w:p>
          <w:p>
            <w:pPr>
              <w:spacing w:after="0" w:before="0" w:line="250"/>
            </w:pPr>
            <w:r>
              <w:rPr>
                <w:rFonts w:ascii="Consolas" w:cs="Consolas" w:eastAsia="Consolas" w:hAnsi="Consolas"/>
                <w:color w:val="20323F"/>
                <w:sz w:val="17"/>
                <w:szCs w:val="17"/>
              </w:rPr>
              <w:t xml:space="preserve">                域1 空间与组织 / 域2 计量 / 域3 供能 / 域4 用能</w:t>
            </w:r>
          </w:p>
          <w:p>
            <w:pPr>
              <w:spacing w:after="0" w:before="0" w:line="250"/>
            </w:pPr>
            <w:r>
              <w:rPr>
                <w:rFonts w:ascii="Consolas" w:cs="Consolas" w:eastAsia="Consolas" w:hAnsi="Consolas"/>
                <w:color w:val="20323F"/>
                <w:sz w:val="17"/>
                <w:szCs w:val="17"/>
              </w:rPr>
              <w:t xml:space="preserve"> </w:t>
            </w:r>
          </w:p>
          <w:p>
            <w:pPr>
              <w:spacing w:after="0" w:before="0" w:line="250"/>
            </w:pPr>
            <w:r>
              <w:rPr>
                <w:rFonts w:ascii="Consolas" w:cs="Consolas" w:eastAsia="Consolas" w:hAnsi="Consolas"/>
                <w:color w:val="20323F"/>
                <w:sz w:val="17"/>
                <w:szCs w:val="17"/>
              </w:rPr>
              <w:t xml:space="preserve">L2  业务对象    em::ledger · em::alloc · em::tariff · em::kpi</w:t>
            </w:r>
          </w:p>
          <w:p>
            <w:pPr>
              <w:spacing w:after="0" w:before="0" w:line="250"/>
            </w:pPr>
            <w:r>
              <w:rPr>
                <w:rFonts w:ascii="Consolas" w:cs="Consolas" w:eastAsia="Consolas" w:hAnsi="Consolas"/>
                <w:color w:val="20323F"/>
                <w:sz w:val="17"/>
                <w:szCs w:val="17"/>
              </w:rPr>
              <w:t xml:space="preserve">                em::baseline · em::carbon · em::diagnostic</w:t>
            </w:r>
          </w:p>
          <w:p>
            <w:pPr>
              <w:spacing w:after="0" w:before="0" w:line="250"/>
            </w:pPr>
            <w:r>
              <w:rPr>
                <w:rFonts w:ascii="Consolas" w:cs="Consolas" w:eastAsia="Consolas" w:hAnsi="Consolas"/>
                <w:color w:val="20323F"/>
                <w:sz w:val="17"/>
                <w:szCs w:val="17"/>
              </w:rPr>
              <w:t xml:space="preserve">                域5 台账 / 域6 分摊 / 域7 计费 / 域8 指标</w:t>
            </w:r>
          </w:p>
          <w:p>
            <w:pPr>
              <w:spacing w:after="0" w:before="0" w:line="250"/>
            </w:pPr>
            <w:r>
              <w:rPr>
                <w:rFonts w:ascii="Consolas" w:cs="Consolas" w:eastAsia="Consolas" w:hAnsi="Consolas"/>
                <w:color w:val="20323F"/>
                <w:sz w:val="17"/>
                <w:szCs w:val="17"/>
              </w:rPr>
              <w:t xml:space="preserve">                域9 核证 / 域10 碳 / 域11 闭环</w:t>
            </w:r>
          </w:p>
        </w:tc>
      </w:tr>
    </w:tbl>
    <w:p>
      <w:pPr>
        <w:spacing w:after="120" w:before="60" w:line="300"/>
      </w:pPr>
      <w:r>
        <w:rPr>
          <w:rFonts w:ascii="Microsoft YaHei" w:cs="Microsoft YaHei" w:eastAsia="Microsoft YaHei" w:hAnsi="Microsoft YaHei"/>
          <w:color w:val="1F2933"/>
          <w:sz w:val="21"/>
          <w:szCs w:val="21"/>
        </w:rPr>
        <w:t xml:space="preserve">L1 与 L2 之间唯一的数据通道是 EmLedgerEntry。所有 L2 业务对象一律读台账，禁止直接读取点位历史。这一约束保证任何账目都可以追溯到具体的台账条目，而台账条目又可以追溯到具体的表计与数据来源等级。</w:t>
      </w:r>
    </w:p>
    <w:p>
      <w:pPr>
        <w:pStyle w:val="Heading2"/>
        <w:spacing w:after="120" w:before="260"/>
      </w:pPr>
      <w:r>
        <w:rPr>
          <w:rFonts w:ascii="Microsoft YaHei" w:cs="Microsoft YaHei" w:eastAsia="Microsoft YaHei" w:hAnsi="Microsoft YaHei"/>
          <w:b/>
          <w:bCs/>
          <w:color w:val="0E7C86"/>
          <w:sz w:val="25"/>
          <w:szCs w:val="25"/>
        </w:rPr>
        <w:t xml:space="preserve">2.2  Pod 与 Xeto 库结构</w:t>
      </w:r>
    </w:p>
    <w:tbl>
      <w:tblPr>
        <w:tblW w:type="dxa" w:w="9000"/>
        <w:tblBorders>
          <w:top w:val="single" w:color="D5E0E8" w:sz="4"/>
          <w:left w:val="single" w:color="D5E0E8" w:sz="4"/>
          <w:bottom w:val="single" w:color="D5E0E8" w:sz="4"/>
          <w:right w:val="single" w:color="D5E0E8" w:sz="4"/>
          <w:insideH w:val="none"/>
          <w:insideV w:val="none"/>
        </w:tblBorders>
      </w:tblPr>
      <w:tblGrid>
        <w:gridCol w:w="9000"/>
      </w:tblGrid>
      <w:tr>
        <w:trPr>
          <w:cantSplit/>
        </w:trPr>
        <w:tc>
          <w:tcPr>
            <w:tcW w:type="dxa" w:w="9000"/>
            <w:shd w:fill="F1F5F8" w:val="clear"/>
            <w:tcMar>
              <w:top w:type="dxa" w:w="140"/>
              <w:left w:type="dxa" w:w="180"/>
              <w:bottom w:type="dxa" w:w="140"/>
              <w:right w:type="dxa" w:w="180"/>
            </w:tcMar>
          </w:tcPr>
          <w:p>
            <w:pPr>
              <w:spacing w:after="0" w:before="0" w:line="250"/>
            </w:pPr>
            <w:r>
              <w:rPr>
                <w:rFonts w:ascii="Consolas" w:cs="Consolas" w:eastAsia="Consolas" w:hAnsi="Consolas"/>
                <w:color w:val="20323F"/>
                <w:sz w:val="17"/>
                <w:szCs w:val="17"/>
              </w:rPr>
              <w:t xml:space="preserve">energyMatrix/            # FIN Pod</w:t>
            </w:r>
          </w:p>
          <w:p>
            <w:pPr>
              <w:spacing w:after="0" w:before="0" w:line="250"/>
            </w:pPr>
            <w:r>
              <w:rPr>
                <w:rFonts w:ascii="Consolas" w:cs="Consolas" w:eastAsia="Consolas" w:hAnsi="Consolas"/>
                <w:color w:val="20323F"/>
                <w:sz w:val="17"/>
                <w:szCs w:val="17"/>
              </w:rPr>
              <w:t xml:space="preserve">  lib/em/                # Xeto lib</w:t>
            </w:r>
          </w:p>
          <w:p>
            <w:pPr>
              <w:spacing w:after="0" w:before="0" w:line="250"/>
            </w:pPr>
            <w:r>
              <w:rPr>
                <w:rFonts w:ascii="Consolas" w:cs="Consolas" w:eastAsia="Consolas" w:hAnsi="Consolas"/>
                <w:color w:val="20323F"/>
                <w:sz w:val="17"/>
                <w:szCs w:val="17"/>
              </w:rPr>
              <w:t xml:space="preserve">    lib.xeto             # 库声明与依赖</w:t>
            </w:r>
          </w:p>
          <w:p>
            <w:pPr>
              <w:spacing w:after="0" w:before="0" w:line="250"/>
            </w:pPr>
            <w:r>
              <w:rPr>
                <w:rFonts w:ascii="Consolas" w:cs="Consolas" w:eastAsia="Consolas" w:hAnsi="Consolas"/>
                <w:color w:val="20323F"/>
                <w:sz w:val="17"/>
                <w:szCs w:val="17"/>
              </w:rPr>
              <w:t xml:space="preserve">    tags.xeto            # 全局标签、枚举、Choice</w:t>
            </w:r>
          </w:p>
          <w:p>
            <w:pPr>
              <w:spacing w:after="0" w:before="0" w:line="250"/>
            </w:pPr>
            <w:r>
              <w:rPr>
                <w:rFonts w:ascii="Consolas" w:cs="Consolas" w:eastAsia="Consolas" w:hAnsi="Consolas"/>
                <w:color w:val="20323F"/>
                <w:sz w:val="17"/>
                <w:szCs w:val="17"/>
              </w:rPr>
              <w:t xml:space="preserve">    spaces.xeto          # 域1  空间与组织</w:t>
            </w:r>
          </w:p>
          <w:p>
            <w:pPr>
              <w:spacing w:after="0" w:before="0" w:line="250"/>
            </w:pPr>
            <w:r>
              <w:rPr>
                <w:rFonts w:ascii="Consolas" w:cs="Consolas" w:eastAsia="Consolas" w:hAnsi="Consolas"/>
                <w:color w:val="20323F"/>
                <w:sz w:val="17"/>
                <w:szCs w:val="17"/>
              </w:rPr>
              <w:t xml:space="preserve">    meters.xeto          # 域2  计量（核心）</w:t>
            </w:r>
          </w:p>
          <w:p>
            <w:pPr>
              <w:spacing w:after="0" w:before="0" w:line="250"/>
            </w:pPr>
            <w:r>
              <w:rPr>
                <w:rFonts w:ascii="Consolas" w:cs="Consolas" w:eastAsia="Consolas" w:hAnsi="Consolas"/>
                <w:color w:val="20323F"/>
                <w:sz w:val="17"/>
                <w:szCs w:val="17"/>
              </w:rPr>
              <w:t xml:space="preserve">    supply.xeto          # 域3  供能 / 产能 / 储能</w:t>
            </w:r>
          </w:p>
          <w:p>
            <w:pPr>
              <w:spacing w:after="0" w:before="0" w:line="250"/>
            </w:pPr>
            <w:r>
              <w:rPr>
                <w:rFonts w:ascii="Consolas" w:cs="Consolas" w:eastAsia="Consolas" w:hAnsi="Consolas"/>
                <w:color w:val="20323F"/>
                <w:sz w:val="17"/>
                <w:szCs w:val="17"/>
              </w:rPr>
              <w:t xml:space="preserve">    loads.xeto           # 域4  用能设备</w:t>
            </w:r>
          </w:p>
          <w:p>
            <w:pPr>
              <w:spacing w:after="0" w:before="0" w:line="250"/>
            </w:pPr>
            <w:r>
              <w:rPr>
                <w:rFonts w:ascii="Consolas" w:cs="Consolas" w:eastAsia="Consolas" w:hAnsi="Consolas"/>
                <w:color w:val="20323F"/>
                <w:sz w:val="17"/>
                <w:szCs w:val="17"/>
              </w:rPr>
              <w:t xml:space="preserve">    points.xeto          # 点位规范</w:t>
            </w:r>
          </w:p>
          <w:p>
            <w:pPr>
              <w:spacing w:after="0" w:before="0" w:line="250"/>
            </w:pPr>
            <w:r>
              <w:rPr>
                <w:rFonts w:ascii="Consolas" w:cs="Consolas" w:eastAsia="Consolas" w:hAnsi="Consolas"/>
                <w:color w:val="20323F"/>
                <w:sz w:val="17"/>
                <w:szCs w:val="17"/>
              </w:rPr>
              <w:t xml:space="preserve">    ledger.xeto          # 域5  能耗台账</w:t>
            </w:r>
          </w:p>
          <w:p>
            <w:pPr>
              <w:spacing w:after="0" w:before="0" w:line="250"/>
            </w:pPr>
            <w:r>
              <w:rPr>
                <w:rFonts w:ascii="Consolas" w:cs="Consolas" w:eastAsia="Consolas" w:hAnsi="Consolas"/>
                <w:color w:val="20323F"/>
                <w:sz w:val="17"/>
                <w:szCs w:val="17"/>
              </w:rPr>
              <w:t xml:space="preserve">    alloc.xeto           # 域6  分摊规则引擎</w:t>
            </w:r>
          </w:p>
          <w:p>
            <w:pPr>
              <w:spacing w:after="0" w:before="0" w:line="250"/>
            </w:pPr>
            <w:r>
              <w:rPr>
                <w:rFonts w:ascii="Consolas" w:cs="Consolas" w:eastAsia="Consolas" w:hAnsi="Consolas"/>
                <w:color w:val="20323F"/>
                <w:sz w:val="17"/>
                <w:szCs w:val="17"/>
              </w:rPr>
              <w:t xml:space="preserve">    tariff.xeto          # 域7  费率 / 合约 / 账单</w:t>
            </w:r>
          </w:p>
          <w:p>
            <w:pPr>
              <w:spacing w:after="0" w:before="0" w:line="250"/>
            </w:pPr>
            <w:r>
              <w:rPr>
                <w:rFonts w:ascii="Consolas" w:cs="Consolas" w:eastAsia="Consolas" w:hAnsi="Consolas"/>
                <w:color w:val="20323F"/>
                <w:sz w:val="17"/>
                <w:szCs w:val="17"/>
              </w:rPr>
              <w:t xml:space="preserve">    kpi.xeto             # 域8  指标体系与定额</w:t>
            </w:r>
          </w:p>
          <w:p>
            <w:pPr>
              <w:spacing w:after="0" w:before="0" w:line="250"/>
            </w:pPr>
            <w:r>
              <w:rPr>
                <w:rFonts w:ascii="Consolas" w:cs="Consolas" w:eastAsia="Consolas" w:hAnsi="Consolas"/>
                <w:color w:val="20323F"/>
                <w:sz w:val="17"/>
                <w:szCs w:val="17"/>
              </w:rPr>
              <w:t xml:space="preserve">    baseline.xeto        # 域9  基线与核证</w:t>
            </w:r>
          </w:p>
          <w:p>
            <w:pPr>
              <w:spacing w:after="0" w:before="0" w:line="250"/>
            </w:pPr>
            <w:r>
              <w:rPr>
                <w:rFonts w:ascii="Consolas" w:cs="Consolas" w:eastAsia="Consolas" w:hAnsi="Consolas"/>
                <w:color w:val="20323F"/>
                <w:sz w:val="17"/>
                <w:szCs w:val="17"/>
              </w:rPr>
              <w:t xml:space="preserve">    carbon.xeto          # 域10 碳资产</w:t>
            </w:r>
          </w:p>
          <w:p>
            <w:pPr>
              <w:spacing w:after="0" w:before="0" w:line="250"/>
            </w:pPr>
            <w:r>
              <w:rPr>
                <w:rFonts w:ascii="Consolas" w:cs="Consolas" w:eastAsia="Consolas" w:hAnsi="Consolas"/>
                <w:color w:val="20323F"/>
                <w:sz w:val="17"/>
                <w:szCs w:val="17"/>
              </w:rPr>
              <w:t xml:space="preserve">    diagnostic.xeto      # 域11 诊断与闭环</w:t>
            </w:r>
          </w:p>
        </w:tc>
      </w:tr>
    </w:tbl>
    <w:p>
      <w:pPr>
        <w:pStyle w:val="Heading2"/>
        <w:spacing w:after="120" w:before="260"/>
      </w:pPr>
      <w:r>
        <w:rPr>
          <w:rFonts w:ascii="Microsoft YaHei" w:cs="Microsoft YaHei" w:eastAsia="Microsoft YaHei" w:hAnsi="Microsoft YaHei"/>
          <w:b/>
          <w:bCs/>
          <w:color w:val="0E7C86"/>
          <w:sz w:val="25"/>
          <w:szCs w:val="25"/>
        </w:rPr>
        <w:t xml:space="preserve">2.3  命名规范</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620"/>
        <w:gridCol w:w="3780"/>
        <w:gridCol w:w="3600"/>
      </w:tblGrid>
      <w:tr>
        <w:trPr>
          <w:tblHeader/>
        </w:trPr>
        <w:tc>
          <w:tcPr>
            <w:tcW w:type="dxa" w:w="162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对象类别</w:t>
            </w:r>
          </w:p>
        </w:tc>
        <w:tc>
          <w:tcPr>
            <w:tcW w:type="dxa" w:w="37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规则</w:t>
            </w:r>
          </w:p>
        </w:tc>
        <w:tc>
          <w:tcPr>
            <w:tcW w:type="dxa" w:w="360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示例</w:t>
            </w:r>
          </w:p>
        </w:tc>
      </w:tr>
      <w:tr>
        <w:tc>
          <w:tcPr>
            <w:tcW w:type="dxa" w:w="16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Xeto spec</w:t>
            </w:r>
          </w:p>
        </w:tc>
        <w:tc>
          <w:tcPr>
            <w:tcW w:type="dxa" w:w="37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Em 前缀 + 大驼峰</w:t>
            </w:r>
          </w:p>
        </w:tc>
        <w:tc>
          <w:tcPr>
            <w:tcW w:type="dxa" w:w="360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EmElecMeter、EmLedgerEntry</w:t>
            </w:r>
          </w:p>
        </w:tc>
      </w:tr>
      <w:tr>
        <w:tc>
          <w:tcPr>
            <w:tcW w:type="dxa" w:w="16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自定义标签</w:t>
            </w:r>
          </w:p>
        </w:tc>
        <w:tc>
          <w:tcPr>
            <w:tcW w:type="dxa" w:w="37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em 前缀 + 小驼峰</w:t>
            </w:r>
          </w:p>
        </w:tc>
        <w:tc>
          <w:tcPr>
            <w:tcW w:type="dxa" w:w="360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emMeterRole、emGapRatio</w:t>
            </w:r>
          </w:p>
        </w:tc>
      </w:tr>
      <w:tr>
        <w:tc>
          <w:tcPr>
            <w:tcW w:type="dxa" w:w="16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枚举类型</w:t>
            </w:r>
          </w:p>
        </w:tc>
        <w:tc>
          <w:tcPr>
            <w:tcW w:type="dxa" w:w="37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Em 前缀 + 大驼峰</w:t>
            </w:r>
          </w:p>
        </w:tc>
        <w:tc>
          <w:tcPr>
            <w:tcW w:type="dxa" w:w="360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EmMeterRole、EmSubItem</w:t>
            </w:r>
          </w:p>
        </w:tc>
      </w:tr>
      <w:tr>
        <w:tc>
          <w:tcPr>
            <w:tcW w:type="dxa" w:w="16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枚举值</w:t>
            </w:r>
          </w:p>
        </w:tc>
        <w:tc>
          <w:tcPr>
            <w:tcW w:type="dxa" w:w="37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全小写小驼峰</w:t>
            </w:r>
          </w:p>
        </w:tc>
        <w:tc>
          <w:tcPr>
            <w:tcW w:type="dxa" w:w="360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gateway、byRatedRuntime</w:t>
            </w:r>
          </w:p>
        </w:tc>
      </w:tr>
      <w:tr>
        <w:tc>
          <w:tcPr>
            <w:tcW w:type="dxa" w:w="16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Axon 函数</w:t>
            </w:r>
          </w:p>
        </w:tc>
        <w:tc>
          <w:tcPr>
            <w:tcW w:type="dxa" w:w="37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em 前缀 + 小驼峰</w:t>
            </w:r>
          </w:p>
        </w:tc>
        <w:tc>
          <w:tcPr>
            <w:tcW w:type="dxa" w:w="360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emLedgerBuild、emAllocRun</w:t>
            </w:r>
          </w:p>
        </w:tc>
      </w:tr>
      <w:tr>
        <w:tc>
          <w:tcPr>
            <w:tcW w:type="dxa" w:w="16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表计编码</w:t>
            </w:r>
          </w:p>
        </w:tc>
        <w:tc>
          <w:tcPr>
            <w:tcW w:type="dxa" w:w="37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M（物理）/ V（虚拟）+ 分项 + 序号</w:t>
            </w:r>
          </w:p>
        </w:tc>
        <w:tc>
          <w:tcPr>
            <w:tcW w:type="dxa" w:w="360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M-B1-CH1、V-B1-GAP</w:t>
            </w:r>
          </w:p>
        </w:tc>
      </w:tr>
      <w:tr>
        <w:tc>
          <w:tcPr>
            <w:tcW w:type="dxa" w:w="16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台账编码</w:t>
            </w:r>
          </w:p>
        </w:tc>
        <w:tc>
          <w:tcPr>
            <w:tcW w:type="dxa" w:w="37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L-年月-流水</w:t>
            </w:r>
          </w:p>
        </w:tc>
        <w:tc>
          <w:tcPr>
            <w:tcW w:type="dxa" w:w="360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L-2607-0142</w:t>
            </w:r>
          </w:p>
        </w:tc>
      </w:tr>
    </w:tbl>
    <w:p>
      <w:pPr>
        <w:spacing w:after="200" w:before="80"/>
        <w:jc w:val="center"/>
      </w:pPr>
      <w:r>
        <w:rPr>
          <w:rFonts w:ascii="Microsoft YaHei" w:cs="Microsoft YaHei" w:eastAsia="Microsoft YaHei" w:hAnsi="Microsoft YaHei"/>
          <w:color w:val="5B6B7A"/>
          <w:sz w:val="17"/>
          <w:szCs w:val="17"/>
        </w:rPr>
        <w:t xml:space="preserve">表 2-1  命名规范</w:t>
      </w:r>
    </w:p>
    <w:tbl>
      <w:tblPr>
        <w:tblW w:type="dxa" w:w="9000"/>
        <w:tblBorders>
          <w:top w:val="single" w:color="C9D6E0" w:sz="4"/>
          <w:left w:val="single" w:color="0E7C86" w:sz="24"/>
          <w:bottom w:val="single" w:color="C9D6E0" w:sz="4"/>
          <w:right w:val="single" w:color="C9D6E0" w:sz="4"/>
          <w:insideH w:val="none"/>
          <w:insideV w:val="none"/>
        </w:tblBorders>
      </w:tblPr>
      <w:tblGrid>
        <w:gridCol w:w="9000"/>
      </w:tblGrid>
      <w:tr>
        <w:trPr>
          <w:cantSplit/>
        </w:trPr>
        <w:tc>
          <w:tcPr>
            <w:tcW w:type="dxa" w:w="9000"/>
            <w:shd w:fill="EEF6F7" w:val="clear"/>
            <w:tcMar>
              <w:top w:type="dxa" w:w="140"/>
              <w:left w:type="dxa" w:w="180"/>
              <w:bottom w:type="dxa" w:w="140"/>
              <w:right w:type="dxa" w:w="180"/>
            </w:tcMar>
          </w:tcPr>
          <w:p>
            <w:pPr>
              <w:spacing w:after="60"/>
            </w:pPr>
            <w:r>
              <w:rPr>
                <w:rFonts w:ascii="Microsoft YaHei" w:cs="Microsoft YaHei" w:eastAsia="Microsoft YaHei" w:hAnsi="Microsoft YaHei"/>
                <w:b/>
                <w:bCs/>
                <w:color w:val="0E7C86"/>
                <w:sz w:val="19"/>
                <w:szCs w:val="19"/>
              </w:rPr>
              <w:t xml:space="preserve">强制约束</w:t>
            </w:r>
          </w:p>
          <w:p>
            <w:pPr>
              <w:spacing w:after="0" w:line="290"/>
            </w:pPr>
            <w:r>
              <w:rPr>
                <w:rFonts w:ascii="Microsoft YaHei" w:cs="Microsoft YaHei" w:eastAsia="Microsoft YaHei" w:hAnsi="Microsoft YaHei"/>
                <w:color w:val="1F2933"/>
                <w:sz w:val="20"/>
                <w:szCs w:val="20"/>
              </w:rPr>
              <w:t xml:space="preserve">本库所有自定义标签一律带 em 前缀。禁止直接向 ph 命名空间添加标签，也禁止复用其他产品库（cm、hm）的私有标签，以保证同一 Folio 内多产品共存时不发生语义冲突。</w:t>
            </w:r>
          </w:p>
        </w:tc>
      </w:tr>
    </w:tbl>
    <w:p>
      <w:pPr>
        <w:spacing w:after="180"/>
      </w:pPr>
      <w:r>
        <w:rPr>
          <w:rFonts w:ascii="Microsoft YaHei" w:cs="Microsoft YaHei" w:eastAsia="Microsoft YaHei" w:hAnsi="Microsoft YaHei"/>
          <w:color w:val="1F2933"/>
          <w:sz w:val="21"/>
          <w:szCs w:val="21"/>
        </w:rPr>
        <w:t xml:space="preserve"/>
      </w:r>
    </w:p>
    <w:p>
      <w:pPr>
        <w:pStyle w:val="Heading2"/>
        <w:spacing w:after="120" w:before="260"/>
      </w:pPr>
      <w:r>
        <w:rPr>
          <w:rFonts w:ascii="Microsoft YaHei" w:cs="Microsoft YaHei" w:eastAsia="Microsoft YaHei" w:hAnsi="Microsoft YaHei"/>
          <w:b/>
          <w:bCs/>
          <w:color w:val="0E7C86"/>
          <w:sz w:val="25"/>
          <w:szCs w:val="25"/>
        </w:rPr>
        <w:t xml:space="preserve">2.4  与兄弟产品的职责边界</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440"/>
        <w:gridCol w:w="3780"/>
        <w:gridCol w:w="3780"/>
      </w:tblGrid>
      <w:tr>
        <w:trPr>
          <w:tblHeader/>
        </w:trPr>
        <w:tc>
          <w:tcPr>
            <w:tcW w:type="dxa" w:w="144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维度</w:t>
            </w:r>
          </w:p>
        </w:tc>
        <w:tc>
          <w:tcPr>
            <w:tcW w:type="dxa" w:w="37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energyMatrix</w:t>
            </w:r>
          </w:p>
        </w:tc>
        <w:tc>
          <w:tcPr>
            <w:tcW w:type="dxa" w:w="37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CoolMatrix / heatMatrix</w:t>
            </w:r>
          </w:p>
        </w:tc>
      </w:tr>
      <w:tr>
        <w:tc>
          <w:tcPr>
            <w:tcW w:type="dxa" w:w="14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关心什么</w:t>
            </w:r>
          </w:p>
        </w:tc>
        <w:tc>
          <w:tcPr>
            <w:tcW w:type="dxa" w:w="37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用了多少、谁用的、花多少钱、排多少碳</w:t>
            </w:r>
          </w:p>
        </w:tc>
        <w:tc>
          <w:tcPr>
            <w:tcW w:type="dxa" w:w="37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怎么控、控得好不好</w:t>
            </w:r>
          </w:p>
        </w:tc>
      </w:tr>
      <w:tr>
        <w:tc>
          <w:tcPr>
            <w:tcW w:type="dxa" w:w="14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时间尺度</w:t>
            </w:r>
          </w:p>
        </w:tc>
        <w:tc>
          <w:tcPr>
            <w:tcW w:type="dxa" w:w="37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小时 / 日 / 月 / 年台账</w:t>
            </w:r>
          </w:p>
        </w:tc>
        <w:tc>
          <w:tcPr>
            <w:tcW w:type="dxa" w:w="37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秒 / 分钟控制周期</w:t>
            </w:r>
          </w:p>
        </w:tc>
      </w:tr>
      <w:tr>
        <w:tc>
          <w:tcPr>
            <w:tcW w:type="dxa" w:w="14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对设备</w:t>
            </w:r>
          </w:p>
        </w:tc>
        <w:tc>
          <w:tcPr>
            <w:tcW w:type="dxa" w:w="37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只通过 EmLoad 赋予能耗身份</w:t>
            </w:r>
          </w:p>
        </w:tc>
        <w:tc>
          <w:tcPr>
            <w:tcW w:type="dxa" w:w="37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拥有设备控制模型与安全联锁</w:t>
            </w:r>
          </w:p>
        </w:tc>
      </w:tr>
      <w:tr>
        <w:tc>
          <w:tcPr>
            <w:tcW w:type="dxa" w:w="14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数据流向</w:t>
            </w:r>
          </w:p>
        </w:tc>
        <w:tc>
          <w:tcPr>
            <w:tcW w:type="dxa" w:w="37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读取控制侧能效点用于指标计算</w:t>
            </w:r>
          </w:p>
        </w:tc>
        <w:tc>
          <w:tcPr>
            <w:tcW w:type="dxa" w:w="37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不读取 energyMatrix，避免账务层进入控制环</w:t>
            </w:r>
          </w:p>
        </w:tc>
      </w:tr>
      <w:tr>
        <w:tc>
          <w:tcPr>
            <w:tcW w:type="dxa" w:w="14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交集</w:t>
            </w:r>
          </w:p>
        </w:tc>
        <w:tc>
          <w:tcPr>
            <w:tcW w:type="dxa" w:w="37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EmSavingsProject 的 Option B 措施级核证</w:t>
            </w:r>
          </w:p>
        </w:tc>
        <w:tc>
          <w:tcPr>
            <w:tcW w:type="dxa" w:w="37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提供措施执行记录与工况标记</w:t>
            </w:r>
          </w:p>
        </w:tc>
      </w:tr>
    </w:tbl>
    <w:p>
      <w:pPr>
        <w:spacing w:after="200" w:before="80"/>
        <w:jc w:val="center"/>
      </w:pPr>
      <w:r>
        <w:rPr>
          <w:rFonts w:ascii="Microsoft YaHei" w:cs="Microsoft YaHei" w:eastAsia="Microsoft YaHei" w:hAnsi="Microsoft YaHei"/>
          <w:color w:val="5B6B7A"/>
          <w:sz w:val="17"/>
          <w:szCs w:val="17"/>
        </w:rPr>
        <w:t xml:space="preserve">表 2-2  产品职责边界</w:t>
      </w:r>
    </w:p>
    <w:p>
      <w:pPr>
        <w:spacing w:after="120" w:before="60" w:line="300"/>
      </w:pPr>
      <w:r>
        <w:rPr>
          <w:rFonts w:ascii="Microsoft YaHei" w:cs="Microsoft YaHei" w:eastAsia="Microsoft YaHei" w:hAnsi="Microsoft YaHei"/>
          <w:color w:val="1F2933"/>
          <w:sz w:val="21"/>
          <w:szCs w:val="21"/>
        </w:rPr>
        <w:t xml:space="preserve">CoolSim 在 IPMVP Option D 场景中接入，作为校准仿真的基线来源。</w:t>
      </w:r>
    </w:p>
    <w:p>
      <w:pPr>
        <w:pStyle w:val="Heading1"/>
        <w:pageBreakBefore/>
        <w:pBdr>
          <w:bottom w:val="single" w:color="1597A5" w:sz="10" w:space="6"/>
        </w:pBdr>
        <w:spacing w:after="160" w:before="320"/>
      </w:pPr>
      <w:r>
        <w:rPr>
          <w:rFonts w:ascii="Microsoft YaHei" w:cs="Microsoft YaHei" w:eastAsia="Microsoft YaHei" w:hAnsi="Microsoft YaHei"/>
          <w:b/>
          <w:bCs/>
          <w:color w:val="0E2A47"/>
          <w:sz w:val="30"/>
          <w:szCs w:val="30"/>
        </w:rPr>
        <w:t xml:space="preserve">3  Layer 1：对象与设备数据模型</w:t>
      </w:r>
    </w:p>
    <w:p>
      <w:pPr>
        <w:pStyle w:val="Heading2"/>
        <w:spacing w:after="120" w:before="260"/>
      </w:pPr>
      <w:r>
        <w:rPr>
          <w:rFonts w:ascii="Microsoft YaHei" w:cs="Microsoft YaHei" w:eastAsia="Microsoft YaHei" w:hAnsi="Microsoft YaHei"/>
          <w:b/>
          <w:bCs/>
          <w:color w:val="0E7C86"/>
          <w:sz w:val="25"/>
          <w:szCs w:val="25"/>
        </w:rPr>
        <w:t xml:space="preserve">3.1  建模铁律</w:t>
      </w:r>
    </w:p>
    <w:p>
      <w:pPr>
        <w:pStyle w:val="ListParagraph"/>
        <w:numPr>
          <w:ilvl w:val="0"/>
          <w:numId w:val="2"/>
        </w:numPr>
        <w:spacing w:after="60" w:before="40" w:line="290"/>
      </w:pPr>
      <w:r>
        <w:rPr>
          <w:rFonts w:ascii="Microsoft YaHei" w:cs="Microsoft YaHei" w:eastAsia="Microsoft YaHei" w:hAnsi="Microsoft YaHei"/>
          <w:color w:val="1F2933"/>
          <w:sz w:val="21"/>
          <w:szCs w:val="21"/>
        </w:rPr>
        <w:t xml:space="preserve">一切能耗数值归属唯一 EmMeter。禁止裸点直接进入能耗账，虚拟表也是表。</w:t>
      </w:r>
    </w:p>
    <w:p>
      <w:pPr>
        <w:pStyle w:val="ListParagraph"/>
        <w:numPr>
          <w:ilvl w:val="0"/>
          <w:numId w:val="2"/>
        </w:numPr>
        <w:spacing w:after="60" w:before="40" w:line="290"/>
      </w:pPr>
      <w:r>
        <w:rPr>
          <w:rFonts w:ascii="Microsoft YaHei" w:cs="Microsoft YaHei" w:eastAsia="Microsoft YaHei" w:hAnsi="Microsoft YaHei"/>
          <w:color w:val="1F2933"/>
          <w:sz w:val="21"/>
          <w:szCs w:val="21"/>
        </w:rPr>
        <w:t xml:space="preserve">表计层级用 ph::submeterOf 构成有向无环图，禁止跨介质挂接。电表的父表只能是电表。</w:t>
      </w:r>
    </w:p>
    <w:p>
      <w:pPr>
        <w:pStyle w:val="ListParagraph"/>
        <w:numPr>
          <w:ilvl w:val="0"/>
          <w:numId w:val="2"/>
        </w:numPr>
        <w:spacing w:after="60" w:before="40" w:line="290"/>
      </w:pPr>
      <w:r>
        <w:rPr>
          <w:rFonts w:ascii="Microsoft YaHei" w:cs="Microsoft YaHei" w:eastAsia="Microsoft YaHei" w:hAnsi="Microsoft YaHei"/>
          <w:color w:val="1F2933"/>
          <w:sz w:val="21"/>
          <w:szCs w:val="21"/>
        </w:rPr>
        <w:t xml:space="preserve">物理表与虚拟表同构。差值法、分摊法、多表求和在模型层无差别，业务层不感知实现方式。</w:t>
      </w:r>
    </w:p>
    <w:p>
      <w:pPr>
        <w:pStyle w:val="ListParagraph"/>
        <w:numPr>
          <w:ilvl w:val="0"/>
          <w:numId w:val="2"/>
        </w:numPr>
        <w:spacing w:after="60" w:before="40" w:line="290"/>
      </w:pPr>
      <w:r>
        <w:rPr>
          <w:rFonts w:ascii="Microsoft YaHei" w:cs="Microsoft YaHei" w:eastAsia="Microsoft YaHei" w:hAnsi="Microsoft YaHei"/>
          <w:color w:val="1F2933"/>
          <w:sz w:val="21"/>
          <w:szCs w:val="21"/>
        </w:rPr>
        <w:t xml:space="preserve">每个数值必带 emDataSource，取值为实测、推导、分摊、估算、人工录入之一。这是能耗账目可审计的根。</w:t>
      </w:r>
    </w:p>
    <w:p>
      <w:pPr>
        <w:pStyle w:val="ListParagraph"/>
        <w:numPr>
          <w:ilvl w:val="0"/>
          <w:numId w:val="2"/>
        </w:numPr>
        <w:spacing w:after="60" w:before="40" w:line="290"/>
      </w:pPr>
      <w:r>
        <w:rPr>
          <w:rFonts w:ascii="Microsoft YaHei" w:cs="Microsoft YaHei" w:eastAsia="Microsoft YaHei" w:hAnsi="Microsoft YaHei"/>
          <w:color w:val="1F2933"/>
          <w:sz w:val="21"/>
          <w:szCs w:val="21"/>
        </w:rPr>
        <w:t xml:space="preserve">不重复定义冷机、水泵、空调机组。这些属于 ph.equips 与 CoolMatrix / heatMatrix 的职责，energyMatrix 只通过 EmLoad 为既有设备挂上分项归类、计量归属与额定值。</w:t>
      </w:r>
    </w:p>
    <w:p>
      <w:pPr>
        <w:pStyle w:val="Heading2"/>
        <w:spacing w:after="120" w:before="260"/>
      </w:pPr>
      <w:r>
        <w:rPr>
          <w:rFonts w:ascii="Microsoft YaHei" w:cs="Microsoft YaHei" w:eastAsia="Microsoft YaHei" w:hAnsi="Microsoft YaHei"/>
          <w:b/>
          <w:bCs/>
          <w:color w:val="0E7C86"/>
          <w:sz w:val="25"/>
          <w:szCs w:val="25"/>
        </w:rPr>
        <w:t xml:space="preserve">3.2  域一  空间与组织</w:t>
      </w:r>
    </w:p>
    <w:p>
      <w:pPr>
        <w:spacing w:after="120" w:before="60" w:line="300"/>
      </w:pPr>
      <w:r>
        <w:rPr>
          <w:rFonts w:ascii="Microsoft YaHei" w:cs="Microsoft YaHei" w:eastAsia="Microsoft YaHei" w:hAnsi="Microsoft YaHei"/>
          <w:color w:val="1F2933"/>
          <w:sz w:val="21"/>
          <w:szCs w:val="21"/>
        </w:rPr>
        <w:t xml:space="preserve">空间树来自 ph::Site / Floor / Space，本库只扩展计量与考核所必需的属性。组织树（业主、物业、租户、成本中心）作为与空间正交的第二棵树独立建模，二者通过 EmZone.emTenantRef 关联。</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260"/>
        <w:gridCol w:w="1170"/>
        <w:gridCol w:w="3060"/>
        <w:gridCol w:w="3510"/>
      </w:tblGrid>
      <w:tr>
        <w:trPr>
          <w:tblHeader/>
        </w:trPr>
        <w:tc>
          <w:tcPr>
            <w:tcW w:type="dxa" w:w="126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Spec</w:t>
            </w:r>
          </w:p>
        </w:tc>
        <w:tc>
          <w:tcPr>
            <w:tcW w:type="dxa" w:w="117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父类</w:t>
            </w:r>
          </w:p>
        </w:tc>
        <w:tc>
          <w:tcPr>
            <w:tcW w:type="dxa" w:w="306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关键属性</w:t>
            </w:r>
          </w:p>
        </w:tc>
        <w:tc>
          <w:tcPr>
            <w:tcW w:type="dxa" w:w="351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说明</w:t>
            </w:r>
          </w:p>
        </w:tc>
      </w:tr>
      <w:tr>
        <w:tc>
          <w:tcPr>
            <w:tcW w:type="dxa" w:w="12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EmSite</w:t>
            </w:r>
          </w:p>
        </w:tc>
        <w:tc>
          <w:tcPr>
            <w:tcW w:type="dxa" w:w="117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ph::Site</w:t>
            </w:r>
          </w:p>
        </w:tc>
        <w:tc>
          <w:tcPr>
            <w:tcW w:type="dxa" w:w="30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area、emCoolArea、emOccupancy、emClimateZone、emBaseYear</w:t>
            </w:r>
          </w:p>
        </w:tc>
        <w:tc>
          <w:tcPr>
            <w:tcW w:type="dxa" w:w="351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站点，EUI 与人均指标的分母来源</w:t>
            </w:r>
          </w:p>
        </w:tc>
      </w:tr>
      <w:tr>
        <w:tc>
          <w:tcPr>
            <w:tcW w:type="dxa" w:w="12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EmFloor</w:t>
            </w:r>
          </w:p>
        </w:tc>
        <w:tc>
          <w:tcPr>
            <w:tcW w:type="dxa" w:w="117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ph::Floor</w:t>
            </w:r>
          </w:p>
        </w:tc>
        <w:tc>
          <w:tcPr>
            <w:tcW w:type="dxa" w:w="30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area、emUsageType</w:t>
            </w:r>
          </w:p>
        </w:tc>
        <w:tc>
          <w:tcPr>
            <w:tcW w:type="dxa" w:w="351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楼层</w:t>
            </w:r>
          </w:p>
        </w:tc>
      </w:tr>
      <w:tr>
        <w:tc>
          <w:tcPr>
            <w:tcW w:type="dxa" w:w="12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EmZone</w:t>
            </w:r>
          </w:p>
        </w:tc>
        <w:tc>
          <w:tcPr>
            <w:tcW w:type="dxa" w:w="117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ph::Space</w:t>
            </w:r>
          </w:p>
        </w:tc>
        <w:tc>
          <w:tcPr>
            <w:tcW w:type="dxa" w:w="30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area、emUsageType、emTenantRef</w:t>
            </w:r>
          </w:p>
        </w:tc>
        <w:tc>
          <w:tcPr>
            <w:tcW w:type="dxa" w:w="351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能耗核算最小空间单元，可跨楼层</w:t>
            </w:r>
          </w:p>
        </w:tc>
      </w:tr>
      <w:tr>
        <w:tc>
          <w:tcPr>
            <w:tcW w:type="dxa" w:w="12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EmOrg</w:t>
            </w:r>
          </w:p>
        </w:tc>
        <w:tc>
          <w:tcPr>
            <w:tcW w:type="dxa" w:w="117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Dict</w:t>
            </w:r>
          </w:p>
        </w:tc>
        <w:tc>
          <w:tcPr>
            <w:tcW w:type="dxa" w:w="30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parentRef</w:t>
            </w:r>
          </w:p>
        </w:tc>
        <w:tc>
          <w:tcPr>
            <w:tcW w:type="dxa" w:w="351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组织单元 / 成本中心，构成组织树</w:t>
            </w:r>
          </w:p>
        </w:tc>
      </w:tr>
      <w:tr>
        <w:tc>
          <w:tcPr>
            <w:tcW w:type="dxa" w:w="12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EmTenant</w:t>
            </w:r>
          </w:p>
        </w:tc>
        <w:tc>
          <w:tcPr>
            <w:tcW w:type="dxa" w:w="117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EmOrg</w:t>
            </w:r>
          </w:p>
        </w:tc>
        <w:tc>
          <w:tcPr>
            <w:tcW w:type="dxa" w:w="30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area、emContractNo、emLeaseStart、emLeaseEnd</w:t>
            </w:r>
          </w:p>
        </w:tc>
        <w:tc>
          <w:tcPr>
            <w:tcW w:type="dxa" w:w="351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租户，账单付费方</w:t>
            </w:r>
          </w:p>
        </w:tc>
      </w:tr>
    </w:tbl>
    <w:p>
      <w:pPr>
        <w:spacing w:after="200" w:before="80"/>
        <w:jc w:val="center"/>
      </w:pPr>
      <w:r>
        <w:rPr>
          <w:rFonts w:ascii="Microsoft YaHei" w:cs="Microsoft YaHei" w:eastAsia="Microsoft YaHei" w:hAnsi="Microsoft YaHei"/>
          <w:color w:val="5B6B7A"/>
          <w:sz w:val="17"/>
          <w:szCs w:val="17"/>
        </w:rPr>
        <w:t xml:space="preserve">表 3-1  空间与组织域对象</w:t>
      </w:r>
    </w:p>
    <w:p>
      <w:pPr>
        <w:pStyle w:val="Heading2"/>
        <w:spacing w:after="120" w:before="260"/>
      </w:pPr>
      <w:r>
        <w:rPr>
          <w:rFonts w:ascii="Microsoft YaHei" w:cs="Microsoft YaHei" w:eastAsia="Microsoft YaHei" w:hAnsi="Microsoft YaHei"/>
          <w:b/>
          <w:bCs/>
          <w:color w:val="0E7C86"/>
          <w:sz w:val="25"/>
          <w:szCs w:val="25"/>
        </w:rPr>
        <w:t xml:space="preserve">3.3  域二  计量</w:t>
      </w:r>
    </w:p>
    <w:p>
      <w:pPr>
        <w:spacing w:after="120" w:before="60" w:line="300"/>
      </w:pPr>
      <w:r>
        <w:rPr>
          <w:rFonts w:ascii="Microsoft YaHei" w:cs="Microsoft YaHei" w:eastAsia="Microsoft YaHei" w:hAnsi="Microsoft YaHei"/>
          <w:color w:val="1F2933"/>
          <w:sz w:val="21"/>
          <w:szCs w:val="21"/>
        </w:rPr>
        <w:t xml:space="preserve">计量域是整个模型的核心。EmMeter 继承 ph::Meter，扩展计量角色、数据来源、服务对象与倍率等属性。各介质子类按 Haystack 官方 Meter 分类派生，不另起炉灶。</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620"/>
        <w:gridCol w:w="900"/>
        <w:gridCol w:w="6480"/>
      </w:tblGrid>
      <w:tr>
        <w:trPr>
          <w:tblHeader/>
        </w:trPr>
        <w:tc>
          <w:tcPr>
            <w:tcW w:type="dxa" w:w="162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Spec</w:t>
            </w:r>
          </w:p>
        </w:tc>
        <w:tc>
          <w:tcPr>
            <w:tcW w:type="dxa" w:w="90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介质</w:t>
            </w:r>
          </w:p>
        </w:tc>
        <w:tc>
          <w:tcPr>
            <w:tcW w:type="dxa" w:w="64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核心点位</w:t>
            </w:r>
          </w:p>
        </w:tc>
      </w:tr>
      <w:tr>
        <w:tc>
          <w:tcPr>
            <w:tcW w:type="dxa" w:w="16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EmElecMeter</w:t>
            </w:r>
          </w:p>
        </w:tc>
        <w:tc>
          <w:tcPr>
            <w:tcW w:type="dxa" w:w="9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电</w:t>
            </w:r>
          </w:p>
        </w:tc>
        <w:tc>
          <w:tcPr>
            <w:tcW w:type="dxa" w:w="64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累积电量、有功功率、无功功率、功率因数、电压、电流、频率、尖峰平谷分时电量、最大需量</w:t>
            </w:r>
          </w:p>
        </w:tc>
      </w:tr>
      <w:tr>
        <w:tc>
          <w:tcPr>
            <w:tcW w:type="dxa" w:w="16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EmWaterMeter</w:t>
            </w:r>
          </w:p>
        </w:tc>
        <w:tc>
          <w:tcPr>
            <w:tcW w:type="dxa" w:w="9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水</w:t>
            </w:r>
          </w:p>
        </w:tc>
        <w:tc>
          <w:tcPr>
            <w:tcW w:type="dxa" w:w="64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累积水量、瞬时流量</w:t>
            </w:r>
          </w:p>
        </w:tc>
      </w:tr>
      <w:tr>
        <w:tc>
          <w:tcPr>
            <w:tcW w:type="dxa" w:w="16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EmGasMeter</w:t>
            </w:r>
          </w:p>
        </w:tc>
        <w:tc>
          <w:tcPr>
            <w:tcW w:type="dxa" w:w="9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燃气</w:t>
            </w:r>
          </w:p>
        </w:tc>
        <w:tc>
          <w:tcPr>
            <w:tcW w:type="dxa" w:w="64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累积体积、瞬时流量、标况折算量</w:t>
            </w:r>
          </w:p>
        </w:tc>
      </w:tr>
      <w:tr>
        <w:tc>
          <w:tcPr>
            <w:tcW w:type="dxa" w:w="16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EmSteamMeter</w:t>
            </w:r>
          </w:p>
        </w:tc>
        <w:tc>
          <w:tcPr>
            <w:tcW w:type="dxa" w:w="9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蒸汽</w:t>
            </w:r>
          </w:p>
        </w:tc>
        <w:tc>
          <w:tcPr>
            <w:tcW w:type="dxa" w:w="64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累积质量、热量、流量、温度、压力</w:t>
            </w:r>
          </w:p>
        </w:tc>
      </w:tr>
      <w:tr>
        <w:tc>
          <w:tcPr>
            <w:tcW w:type="dxa" w:w="16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EmCoolMeter</w:t>
            </w:r>
          </w:p>
        </w:tc>
        <w:tc>
          <w:tcPr>
            <w:tcW w:type="dxa" w:w="9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冷量</w:t>
            </w:r>
          </w:p>
        </w:tc>
        <w:tc>
          <w:tcPr>
            <w:tcW w:type="dxa" w:w="64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累积冷量、瞬时冷功率、累积水量、流量、进出水温、温差</w:t>
            </w:r>
          </w:p>
        </w:tc>
      </w:tr>
      <w:tr>
        <w:tc>
          <w:tcPr>
            <w:tcW w:type="dxa" w:w="16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EmHeatMeter</w:t>
            </w:r>
          </w:p>
        </w:tc>
        <w:tc>
          <w:tcPr>
            <w:tcW w:type="dxa" w:w="9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热量</w:t>
            </w:r>
          </w:p>
        </w:tc>
        <w:tc>
          <w:tcPr>
            <w:tcW w:type="dxa" w:w="64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同上，标记为 hot</w:t>
            </w:r>
          </w:p>
        </w:tc>
      </w:tr>
    </w:tbl>
    <w:p>
      <w:pPr>
        <w:spacing w:after="200" w:before="80"/>
        <w:jc w:val="center"/>
      </w:pPr>
      <w:r>
        <w:rPr>
          <w:rFonts w:ascii="Microsoft YaHei" w:cs="Microsoft YaHei" w:eastAsia="Microsoft YaHei" w:hAnsi="Microsoft YaHei"/>
          <w:color w:val="5B6B7A"/>
          <w:sz w:val="17"/>
          <w:szCs w:val="17"/>
        </w:rPr>
        <w:t xml:space="preserve">表 3-2  计量器具分类</w:t>
      </w:r>
    </w:p>
    <w:p>
      <w:pPr>
        <w:pStyle w:val="Heading3"/>
        <w:spacing w:after="120" w:before="200"/>
      </w:pPr>
      <w:r>
        <w:rPr>
          <w:rFonts w:ascii="Microsoft YaHei" w:cs="Microsoft YaHei" w:eastAsia="Microsoft YaHei" w:hAnsi="Microsoft YaHei"/>
          <w:b/>
          <w:bCs/>
          <w:color w:val="0E2A47"/>
          <w:sz w:val="22"/>
          <w:szCs w:val="22"/>
        </w:rPr>
        <w:t xml:space="preserve">3.3.1  计量角色</w:t>
      </w:r>
    </w:p>
    <w:p>
      <w:pPr>
        <w:spacing w:after="120" w:before="60" w:line="300"/>
      </w:pPr>
      <w:r>
        <w:rPr>
          <w:rFonts w:ascii="Microsoft YaHei" w:cs="Microsoft YaHei" w:eastAsia="Microsoft YaHei" w:hAnsi="Microsoft YaHei"/>
          <w:color w:val="1F2933"/>
          <w:sz w:val="21"/>
          <w:szCs w:val="21"/>
        </w:rPr>
        <w:t xml:space="preserve">emMeterRole 是六值枚举，而非 marker。汇总算法只识别角色，不识别层级深度，因此三层楼的项目与三十层的项目使用同一套汇总逻辑。</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440"/>
        <w:gridCol w:w="1080"/>
        <w:gridCol w:w="6480"/>
      </w:tblGrid>
      <w:tr>
        <w:trPr>
          <w:tblHeader/>
        </w:trPr>
        <w:tc>
          <w:tcPr>
            <w:tcW w:type="dxa" w:w="144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取值</w:t>
            </w:r>
          </w:p>
        </w:tc>
        <w:tc>
          <w:tcPr>
            <w:tcW w:type="dxa" w:w="10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中文</w:t>
            </w:r>
          </w:p>
        </w:tc>
        <w:tc>
          <w:tcPr>
            <w:tcW w:type="dxa" w:w="64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语义</w:t>
            </w:r>
          </w:p>
        </w:tc>
      </w:tr>
      <w:tr>
        <w:tc>
          <w:tcPr>
            <w:tcW w:type="dxa" w:w="144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gateway</w:t>
            </w:r>
          </w:p>
        </w:tc>
        <w:tc>
          <w:tcPr>
            <w:tcW w:type="dxa" w:w="10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关口表</w:t>
            </w:r>
          </w:p>
        </w:tc>
        <w:tc>
          <w:tcPr>
            <w:tcW w:type="dxa" w:w="64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与供能方结算的产权分界表，唯一权威源</w:t>
            </w:r>
          </w:p>
        </w:tc>
      </w:tr>
      <w:tr>
        <w:tc>
          <w:tcPr>
            <w:tcW w:type="dxa" w:w="144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main</w:t>
            </w:r>
          </w:p>
        </w:tc>
        <w:tc>
          <w:tcPr>
            <w:tcW w:type="dxa" w:w="10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总表</w:t>
            </w:r>
          </w:p>
        </w:tc>
        <w:tc>
          <w:tcPr>
            <w:tcW w:type="dxa" w:w="64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建筑或系统级汇总表</w:t>
            </w:r>
          </w:p>
        </w:tc>
      </w:tr>
      <w:tr>
        <w:tc>
          <w:tcPr>
            <w:tcW w:type="dxa" w:w="144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branch</w:t>
            </w:r>
          </w:p>
        </w:tc>
        <w:tc>
          <w:tcPr>
            <w:tcW w:type="dxa" w:w="10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分项表</w:t>
            </w:r>
          </w:p>
        </w:tc>
        <w:tc>
          <w:tcPr>
            <w:tcW w:type="dxa" w:w="64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按用能分项划分的回路表</w:t>
            </w:r>
          </w:p>
        </w:tc>
      </w:tr>
      <w:tr>
        <w:tc>
          <w:tcPr>
            <w:tcW w:type="dxa" w:w="144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sub</w:t>
            </w:r>
          </w:p>
        </w:tc>
        <w:tc>
          <w:tcPr>
            <w:tcW w:type="dxa" w:w="10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子表</w:t>
            </w:r>
          </w:p>
        </w:tc>
        <w:tc>
          <w:tcPr>
            <w:tcW w:type="dxa" w:w="64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租户、楼层或末端计量表</w:t>
            </w:r>
          </w:p>
        </w:tc>
      </w:tr>
      <w:tr>
        <w:tc>
          <w:tcPr>
            <w:tcW w:type="dxa" w:w="144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check</w:t>
            </w:r>
          </w:p>
        </w:tc>
        <w:tc>
          <w:tcPr>
            <w:tcW w:type="dxa" w:w="10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考核表</w:t>
            </w:r>
          </w:p>
        </w:tc>
        <w:tc>
          <w:tcPr>
            <w:tcW w:type="dxa" w:w="64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仅用于校核，不参与汇总，防止重复计量</w:t>
            </w:r>
          </w:p>
        </w:tc>
      </w:tr>
      <w:tr>
        <w:tc>
          <w:tcPr>
            <w:tcW w:type="dxa" w:w="144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virtual</w:t>
            </w:r>
          </w:p>
        </w:tc>
        <w:tc>
          <w:tcPr>
            <w:tcW w:type="dxa" w:w="10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虚表</w:t>
            </w:r>
          </w:p>
        </w:tc>
        <w:tc>
          <w:tcPr>
            <w:tcW w:type="dxa" w:w="64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由加减、分摊或差值公式导出</w:t>
            </w:r>
          </w:p>
        </w:tc>
      </w:tr>
    </w:tbl>
    <w:p>
      <w:pPr>
        <w:spacing w:after="200" w:before="80"/>
        <w:jc w:val="center"/>
      </w:pPr>
      <w:r>
        <w:rPr>
          <w:rFonts w:ascii="Microsoft YaHei" w:cs="Microsoft YaHei" w:eastAsia="Microsoft YaHei" w:hAnsi="Microsoft YaHei"/>
          <w:color w:val="5B6B7A"/>
          <w:sz w:val="17"/>
          <w:szCs w:val="17"/>
        </w:rPr>
        <w:t xml:space="preserve">表 3-3  emMeterRole 枚举</w:t>
      </w:r>
    </w:p>
    <w:p>
      <w:pPr>
        <w:pStyle w:val="Heading3"/>
        <w:spacing w:after="120" w:before="200"/>
      </w:pPr>
      <w:r>
        <w:rPr>
          <w:rFonts w:ascii="Microsoft YaHei" w:cs="Microsoft YaHei" w:eastAsia="Microsoft YaHei" w:hAnsi="Microsoft YaHei"/>
          <w:b/>
          <w:bCs/>
          <w:color w:val="0E2A47"/>
          <w:sz w:val="22"/>
          <w:szCs w:val="22"/>
        </w:rPr>
        <w:t xml:space="preserve">3.3.2  虚拟表</w:t>
      </w:r>
    </w:p>
    <w:p>
      <w:pPr>
        <w:spacing w:after="120" w:before="60" w:line="300"/>
      </w:pPr>
      <w:r>
        <w:rPr>
          <w:rFonts w:ascii="Microsoft YaHei" w:cs="Microsoft YaHei" w:eastAsia="Microsoft YaHei" w:hAnsi="Microsoft YaHei"/>
          <w:color w:val="1F2933"/>
          <w:sz w:val="21"/>
          <w:szCs w:val="21"/>
        </w:rPr>
        <w:t xml:space="preserve">虚拟表通过 emVirtual 标记与 emFormula 表达式定义，在模型层与物理表完全同构。典型用途是差值法求余量与按规则分摊：</w:t>
      </w:r>
    </w:p>
    <w:tbl>
      <w:tblPr>
        <w:tblW w:type="dxa" w:w="9000"/>
        <w:tblBorders>
          <w:top w:val="single" w:color="D5E0E8" w:sz="4"/>
          <w:left w:val="single" w:color="D5E0E8" w:sz="4"/>
          <w:bottom w:val="single" w:color="D5E0E8" w:sz="4"/>
          <w:right w:val="single" w:color="D5E0E8" w:sz="4"/>
          <w:insideH w:val="none"/>
          <w:insideV w:val="none"/>
        </w:tblBorders>
      </w:tblPr>
      <w:tblGrid>
        <w:gridCol w:w="9000"/>
      </w:tblGrid>
      <w:tr>
        <w:trPr>
          <w:cantSplit/>
        </w:trPr>
        <w:tc>
          <w:tcPr>
            <w:tcW w:type="dxa" w:w="9000"/>
            <w:shd w:fill="F1F5F8" w:val="clear"/>
            <w:tcMar>
              <w:top w:type="dxa" w:w="140"/>
              <w:left w:type="dxa" w:w="180"/>
              <w:bottom w:type="dxa" w:w="140"/>
              <w:right w:type="dxa" w:w="180"/>
            </w:tcMar>
          </w:tcPr>
          <w:p>
            <w:pPr>
              <w:spacing w:after="0" w:before="0" w:line="250"/>
            </w:pPr>
            <w:r>
              <w:rPr>
                <w:rFonts w:ascii="Consolas" w:cs="Consolas" w:eastAsia="Consolas" w:hAnsi="Consolas"/>
                <w:color w:val="20323F"/>
                <w:sz w:val="17"/>
                <w:szCs w:val="17"/>
              </w:rPr>
              <w:t xml:space="preserve">// 冷热站余量：总表减去已计量子表之和</w:t>
            </w:r>
          </w:p>
          <w:p>
            <w:pPr>
              <w:spacing w:after="0" w:before="0" w:line="250"/>
            </w:pPr>
            <w:r>
              <w:rPr>
                <w:rFonts w:ascii="Consolas" w:cs="Consolas" w:eastAsia="Consolas" w:hAnsi="Consolas"/>
                <w:color w:val="20323F"/>
                <w:sz w:val="17"/>
                <w:szCs w:val="17"/>
              </w:rPr>
              <w:t xml:space="preserve">V-B1-GAP  emFormula: "emMeterRead(@M-B1-01) - emSubMeterSum(@M-B1-01)"</w:t>
            </w:r>
          </w:p>
          <w:p>
            <w:pPr>
              <w:spacing w:after="0" w:before="0" w:line="250"/>
            </w:pPr>
            <w:r>
              <w:rPr>
                <w:rFonts w:ascii="Consolas" w:cs="Consolas" w:eastAsia="Consolas" w:hAnsi="Consolas"/>
                <w:color w:val="20323F"/>
                <w:sz w:val="17"/>
                <w:szCs w:val="17"/>
              </w:rPr>
              <w:t xml:space="preserve"> </w:t>
            </w:r>
          </w:p>
          <w:p>
            <w:pPr>
              <w:spacing w:after="0" w:before="0" w:line="250"/>
            </w:pPr>
            <w:r>
              <w:rPr>
                <w:rFonts w:ascii="Consolas" w:cs="Consolas" w:eastAsia="Consolas" w:hAnsi="Consolas"/>
                <w:color w:val="20323F"/>
                <w:sz w:val="17"/>
                <w:szCs w:val="17"/>
              </w:rPr>
              <w:t xml:space="preserve">// 商户分摊：按租赁面积从总表分配</w:t>
            </w:r>
          </w:p>
          <w:p>
            <w:pPr>
              <w:spacing w:after="0" w:before="0" w:line="250"/>
            </w:pPr>
            <w:r>
              <w:rPr>
                <w:rFonts w:ascii="Consolas" w:cs="Consolas" w:eastAsia="Consolas" w:hAnsi="Consolas"/>
                <w:color w:val="20323F"/>
                <w:sz w:val="17"/>
                <w:szCs w:val="17"/>
              </w:rPr>
              <w:t xml:space="preserve">V-D2-ALC  emFormula: "emAllocByArea(@M-D2-01, tenantSet)"</w:t>
            </w:r>
          </w:p>
        </w:tc>
      </w:tr>
    </w:tbl>
    <w:p>
      <w:pPr>
        <w:pStyle w:val="Heading3"/>
        <w:spacing w:after="120" w:before="200"/>
      </w:pPr>
      <w:r>
        <w:rPr>
          <w:rFonts w:ascii="Microsoft YaHei" w:cs="Microsoft YaHei" w:eastAsia="Microsoft YaHei" w:hAnsi="Microsoft YaHei"/>
          <w:b/>
          <w:bCs/>
          <w:color w:val="0E2A47"/>
          <w:sz w:val="22"/>
          <w:szCs w:val="22"/>
        </w:rPr>
        <w:t xml:space="preserve">3.3.3  缺口量</w:t>
      </w:r>
    </w:p>
    <w:tbl>
      <w:tblPr>
        <w:tblW w:type="dxa" w:w="9000"/>
        <w:tblBorders>
          <w:top w:val="single" w:color="C9D6E0" w:sz="4"/>
          <w:left w:val="single" w:color="C49A2E" w:sz="24"/>
          <w:bottom w:val="single" w:color="C9D6E0" w:sz="4"/>
          <w:right w:val="single" w:color="C9D6E0" w:sz="4"/>
          <w:insideH w:val="none"/>
          <w:insideV w:val="none"/>
        </w:tblBorders>
      </w:tblPr>
      <w:tblGrid>
        <w:gridCol w:w="9000"/>
      </w:tblGrid>
      <w:tr>
        <w:trPr>
          <w:cantSplit/>
        </w:trPr>
        <w:tc>
          <w:tcPr>
            <w:tcW w:type="dxa" w:w="9000"/>
            <w:shd w:fill="FCF8EE" w:val="clear"/>
            <w:tcMar>
              <w:top w:type="dxa" w:w="140"/>
              <w:left w:type="dxa" w:w="180"/>
              <w:bottom w:type="dxa" w:w="140"/>
              <w:right w:type="dxa" w:w="180"/>
            </w:tcMar>
          </w:tcPr>
          <w:p>
            <w:pPr>
              <w:spacing w:after="60"/>
            </w:pPr>
            <w:r>
              <w:rPr>
                <w:rFonts w:ascii="Microsoft YaHei" w:cs="Microsoft YaHei" w:eastAsia="Microsoft YaHei" w:hAnsi="Microsoft YaHei"/>
                <w:b/>
                <w:bCs/>
                <w:color w:val="C49A2E"/>
                <w:sz w:val="19"/>
                <w:szCs w:val="19"/>
              </w:rPr>
              <w:t xml:space="preserve">设计取舍</w:t>
            </w:r>
          </w:p>
          <w:p>
            <w:pPr>
              <w:spacing w:after="0" w:line="290"/>
            </w:pPr>
            <w:r>
              <w:rPr>
                <w:rFonts w:ascii="Microsoft YaHei" w:cs="Microsoft YaHei" w:eastAsia="Microsoft YaHei" w:hAnsi="Microsoft YaHei"/>
                <w:color w:val="1F2933"/>
                <w:sz w:val="20"/>
                <w:szCs w:val="20"/>
              </w:rPr>
              <w:t xml:space="preserve">总表减各分表之和的差值必须显式建模为一个带 emGap 标记的虚拟表，而不是让它在报表中被平摊或悄悄消失。缺口率是判断计量方案是否合格的第一指标，也是关账闸门的判据。</w:t>
            </w:r>
          </w:p>
        </w:tc>
      </w:tr>
    </w:tbl>
    <w:p>
      <w:pPr>
        <w:spacing w:after="180"/>
      </w:pPr>
      <w:r>
        <w:rPr>
          <w:rFonts w:ascii="Microsoft YaHei" w:cs="Microsoft YaHei" w:eastAsia="Microsoft YaHei" w:hAnsi="Microsoft YaHei"/>
          <w:color w:val="1F2933"/>
          <w:sz w:val="21"/>
          <w:szCs w:val="21"/>
        </w:rPr>
        <w:t xml:space="preserve"/>
      </w:r>
    </w:p>
    <w:p>
      <w:pPr>
        <w:pStyle w:val="Heading2"/>
        <w:spacing w:after="120" w:before="260"/>
      </w:pPr>
      <w:r>
        <w:rPr>
          <w:rFonts w:ascii="Microsoft YaHei" w:cs="Microsoft YaHei" w:eastAsia="Microsoft YaHei" w:hAnsi="Microsoft YaHei"/>
          <w:b/>
          <w:bCs/>
          <w:color w:val="0E7C86"/>
          <w:sz w:val="25"/>
          <w:szCs w:val="25"/>
        </w:rPr>
        <w:t xml:space="preserve">3.4  域三  供能、产能与储能</w:t>
      </w:r>
    </w:p>
    <w:p>
      <w:pPr>
        <w:spacing w:after="120" w:before="60" w:line="300"/>
      </w:pPr>
      <w:r>
        <w:rPr>
          <w:rFonts w:ascii="Microsoft YaHei" w:cs="Microsoft YaHei" w:eastAsia="Microsoft YaHei" w:hAnsi="Microsoft YaHei"/>
          <w:color w:val="1F2933"/>
          <w:sz w:val="21"/>
          <w:szCs w:val="21"/>
        </w:rPr>
        <w:t xml:space="preserve">产能与储能设备既是能源节点，也必须挂表，走与用能侧一致的计量模型。净电量约定：正值为从电网购入或储能放电，负值为上网或储能充电。</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620"/>
        <w:gridCol w:w="2700"/>
        <w:gridCol w:w="4680"/>
      </w:tblGrid>
      <w:tr>
        <w:trPr>
          <w:tblHeader/>
        </w:trPr>
        <w:tc>
          <w:tcPr>
            <w:tcW w:type="dxa" w:w="162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Spec</w:t>
            </w:r>
          </w:p>
        </w:tc>
        <w:tc>
          <w:tcPr>
            <w:tcW w:type="dxa" w:w="270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说明</w:t>
            </w:r>
          </w:p>
        </w:tc>
        <w:tc>
          <w:tcPr>
            <w:tcW w:type="dxa" w:w="46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关键点位</w:t>
            </w:r>
          </w:p>
        </w:tc>
      </w:tr>
      <w:tr>
        <w:tc>
          <w:tcPr>
            <w:tcW w:type="dxa" w:w="16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EmUtilityInlet</w:t>
            </w:r>
          </w:p>
        </w:tc>
        <w:tc>
          <w:tcPr>
            <w:tcW w:type="dxa" w:w="27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市政能源接入点，产权分界</w:t>
            </w:r>
          </w:p>
        </w:tc>
        <w:tc>
          <w:tcPr>
            <w:tcW w:type="dxa" w:w="46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关联 EmTariff</w:t>
            </w:r>
          </w:p>
        </w:tc>
      </w:tr>
      <w:tr>
        <w:tc>
          <w:tcPr>
            <w:tcW w:type="dxa" w:w="16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EmTransformer</w:t>
            </w:r>
          </w:p>
        </w:tc>
        <w:tc>
          <w:tcPr>
            <w:tcW w:type="dxa" w:w="27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变压器</w:t>
            </w:r>
          </w:p>
        </w:tc>
        <w:tc>
          <w:tcPr>
            <w:tcW w:type="dxa" w:w="46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负载率、绕组温度、有功功率</w:t>
            </w:r>
          </w:p>
        </w:tc>
      </w:tr>
      <w:tr>
        <w:tc>
          <w:tcPr>
            <w:tcW w:type="dxa" w:w="16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EmPvSystem</w:t>
            </w:r>
          </w:p>
        </w:tc>
        <w:tc>
          <w:tcPr>
            <w:tcW w:type="dxa" w:w="27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光伏发电系统</w:t>
            </w:r>
          </w:p>
        </w:tc>
        <w:tc>
          <w:tcPr>
            <w:tcW w:type="dxa" w:w="46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发电量、上网电量、自发自用量、辐照度、系统效率 PR</w:t>
            </w:r>
          </w:p>
        </w:tc>
      </w:tr>
      <w:tr>
        <w:tc>
          <w:tcPr>
            <w:tcW w:type="dxa" w:w="16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EmBess</w:t>
            </w:r>
          </w:p>
        </w:tc>
        <w:tc>
          <w:tcPr>
            <w:tcW w:type="dxa" w:w="27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电化学储能</w:t>
            </w:r>
          </w:p>
        </w:tc>
        <w:tc>
          <w:tcPr>
            <w:tcW w:type="dxa" w:w="46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SOC、SOH、充电量、放电量、有功功率</w:t>
            </w:r>
          </w:p>
        </w:tc>
      </w:tr>
      <w:tr>
        <w:tc>
          <w:tcPr>
            <w:tcW w:type="dxa" w:w="16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EmEvCharger</w:t>
            </w:r>
          </w:p>
        </w:tc>
        <w:tc>
          <w:tcPr>
            <w:tcW w:type="dxa" w:w="27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充电桩</w:t>
            </w:r>
          </w:p>
        </w:tc>
        <w:tc>
          <w:tcPr>
            <w:tcW w:type="dxa" w:w="46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累积电量、有功功率</w:t>
            </w:r>
          </w:p>
        </w:tc>
      </w:tr>
    </w:tbl>
    <w:p>
      <w:pPr>
        <w:spacing w:after="200" w:before="80"/>
        <w:jc w:val="center"/>
      </w:pPr>
      <w:r>
        <w:rPr>
          <w:rFonts w:ascii="Microsoft YaHei" w:cs="Microsoft YaHei" w:eastAsia="Microsoft YaHei" w:hAnsi="Microsoft YaHei"/>
          <w:color w:val="5B6B7A"/>
          <w:sz w:val="17"/>
          <w:szCs w:val="17"/>
        </w:rPr>
        <w:t xml:space="preserve">表 3-4  供能域对象</w:t>
      </w:r>
    </w:p>
    <w:p>
      <w:pPr>
        <w:pStyle w:val="Heading2"/>
        <w:spacing w:after="120" w:before="260"/>
      </w:pPr>
      <w:r>
        <w:rPr>
          <w:rFonts w:ascii="Microsoft YaHei" w:cs="Microsoft YaHei" w:eastAsia="Microsoft YaHei" w:hAnsi="Microsoft YaHei"/>
          <w:b/>
          <w:bCs/>
          <w:color w:val="0E7C86"/>
          <w:sz w:val="25"/>
          <w:szCs w:val="25"/>
        </w:rPr>
        <w:t xml:space="preserve">3.5  域四  用能设备</w:t>
      </w:r>
    </w:p>
    <w:p>
      <w:pPr>
        <w:spacing w:after="120" w:before="60" w:line="300"/>
      </w:pPr>
      <w:r>
        <w:rPr>
          <w:rFonts w:ascii="Microsoft YaHei" w:cs="Microsoft YaHei" w:eastAsia="Microsoft YaHei" w:hAnsi="Microsoft YaHei"/>
          <w:color w:val="1F2933"/>
          <w:sz w:val="21"/>
          <w:szCs w:val="21"/>
        </w:rPr>
        <w:t xml:space="preserve">EmLoad 是一个混入式的能耗身份，可挂在任何 ph::Equip 之上。有独立计量的设备通过 emMeterRef 关联表计；无表设备通过 emAllocWeight 参与分摊，默认权重为额定功率乘以运行时长。</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2160"/>
        <w:gridCol w:w="1800"/>
        <w:gridCol w:w="5040"/>
      </w:tblGrid>
      <w:tr>
        <w:trPr>
          <w:tblHeader/>
        </w:trPr>
        <w:tc>
          <w:tcPr>
            <w:tcW w:type="dxa" w:w="216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Spec</w:t>
            </w:r>
          </w:p>
        </w:tc>
        <w:tc>
          <w:tcPr>
            <w:tcW w:type="dxa" w:w="180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对应分项</w:t>
            </w:r>
          </w:p>
        </w:tc>
        <w:tc>
          <w:tcPr>
            <w:tcW w:type="dxa" w:w="504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典型对象</w:t>
            </w:r>
          </w:p>
        </w:tc>
      </w:tr>
      <w:tr>
        <w:tc>
          <w:tcPr>
            <w:tcW w:type="dxa" w:w="21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EmLightingLoad</w:t>
            </w:r>
          </w:p>
        </w:tc>
        <w:tc>
          <w:tcPr>
            <w:tcW w:type="dxa" w:w="18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A1 / A2 / A3</w:t>
            </w:r>
          </w:p>
        </w:tc>
        <w:tc>
          <w:tcPr>
            <w:tcW w:type="dxa" w:w="50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照明回路、景观灯</w:t>
            </w:r>
          </w:p>
        </w:tc>
      </w:tr>
      <w:tr>
        <w:tc>
          <w:tcPr>
            <w:tcW w:type="dxa" w:w="21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EmHvacLoad</w:t>
            </w:r>
          </w:p>
        </w:tc>
        <w:tc>
          <w:tcPr>
            <w:tcW w:type="dxa" w:w="18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B1 / B2</w:t>
            </w:r>
          </w:p>
        </w:tc>
        <w:tc>
          <w:tcPr>
            <w:tcW w:type="dxa" w:w="50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冷机、热泵、空调箱、风机盘管</w:t>
            </w:r>
          </w:p>
        </w:tc>
      </w:tr>
      <w:tr>
        <w:tc>
          <w:tcPr>
            <w:tcW w:type="dxa" w:w="21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EmElevatorLoad</w:t>
            </w:r>
          </w:p>
        </w:tc>
        <w:tc>
          <w:tcPr>
            <w:tcW w:type="dxa" w:w="18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C1</w:t>
            </w:r>
          </w:p>
        </w:tc>
        <w:tc>
          <w:tcPr>
            <w:tcW w:type="dxa" w:w="50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电梯、扶梯</w:t>
            </w:r>
          </w:p>
        </w:tc>
      </w:tr>
      <w:tr>
        <w:tc>
          <w:tcPr>
            <w:tcW w:type="dxa" w:w="21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EmPumpLoad</w:t>
            </w:r>
          </w:p>
        </w:tc>
        <w:tc>
          <w:tcPr>
            <w:tcW w:type="dxa" w:w="18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C2</w:t>
            </w:r>
          </w:p>
        </w:tc>
        <w:tc>
          <w:tcPr>
            <w:tcW w:type="dxa" w:w="50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生活泵、排污泵</w:t>
            </w:r>
          </w:p>
        </w:tc>
      </w:tr>
      <w:tr>
        <w:tc>
          <w:tcPr>
            <w:tcW w:type="dxa" w:w="21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EmFanLoad</w:t>
            </w:r>
          </w:p>
        </w:tc>
        <w:tc>
          <w:tcPr>
            <w:tcW w:type="dxa" w:w="18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C3</w:t>
            </w:r>
          </w:p>
        </w:tc>
        <w:tc>
          <w:tcPr>
            <w:tcW w:type="dxa" w:w="50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送排风机</w:t>
            </w:r>
          </w:p>
        </w:tc>
      </w:tr>
      <w:tr>
        <w:tc>
          <w:tcPr>
            <w:tcW w:type="dxa" w:w="21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EmItLoad</w:t>
            </w:r>
          </w:p>
        </w:tc>
        <w:tc>
          <w:tcPr>
            <w:tcW w:type="dxa" w:w="18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D1</w:t>
            </w:r>
          </w:p>
        </w:tc>
        <w:tc>
          <w:tcPr>
            <w:tcW w:type="dxa" w:w="50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机房 UPS、精密空调</w:t>
            </w:r>
          </w:p>
        </w:tc>
      </w:tr>
      <w:tr>
        <w:tc>
          <w:tcPr>
            <w:tcW w:type="dxa" w:w="21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EmProcessLoad</w:t>
            </w:r>
          </w:p>
        </w:tc>
        <w:tc>
          <w:tcPr>
            <w:tcW w:type="dxa" w:w="18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D2 / D6</w:t>
            </w:r>
          </w:p>
        </w:tc>
        <w:tc>
          <w:tcPr>
            <w:tcW w:type="dxa" w:w="50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厨房设备、工艺负荷</w:t>
            </w:r>
          </w:p>
        </w:tc>
      </w:tr>
      <w:tr>
        <w:tc>
          <w:tcPr>
            <w:tcW w:type="dxa" w:w="21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EmLoadGroup</w:t>
            </w:r>
          </w:p>
        </w:tc>
        <w:tc>
          <w:tcPr>
            <w:tcW w:type="dxa" w:w="18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按成员</w:t>
            </w:r>
          </w:p>
        </w:tc>
        <w:tc>
          <w:tcPr>
            <w:tcW w:type="dxa" w:w="50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无独立计量的批量设备聚合</w:t>
            </w:r>
          </w:p>
        </w:tc>
      </w:tr>
    </w:tbl>
    <w:p>
      <w:pPr>
        <w:spacing w:after="200" w:before="80"/>
        <w:jc w:val="center"/>
      </w:pPr>
      <w:r>
        <w:rPr>
          <w:rFonts w:ascii="Microsoft YaHei" w:cs="Microsoft YaHei" w:eastAsia="Microsoft YaHei" w:hAnsi="Microsoft YaHei"/>
          <w:color w:val="5B6B7A"/>
          <w:sz w:val="17"/>
          <w:szCs w:val="17"/>
        </w:rPr>
        <w:t xml:space="preserve">表 3-5  用能设备子类型</w:t>
      </w:r>
    </w:p>
    <w:p>
      <w:pPr>
        <w:pStyle w:val="Heading2"/>
        <w:spacing w:after="120" w:before="260"/>
      </w:pPr>
      <w:r>
        <w:rPr>
          <w:rFonts w:ascii="Microsoft YaHei" w:cs="Microsoft YaHei" w:eastAsia="Microsoft YaHei" w:hAnsi="Microsoft YaHei"/>
          <w:b/>
          <w:bCs/>
          <w:color w:val="0E7C86"/>
          <w:sz w:val="25"/>
          <w:szCs w:val="25"/>
        </w:rPr>
        <w:t xml:space="preserve">3.6  点位三层规范</w:t>
      </w:r>
    </w:p>
    <w:p>
      <w:pPr>
        <w:spacing w:after="120" w:before="60" w:line="300"/>
      </w:pPr>
      <w:r>
        <w:rPr>
          <w:rFonts w:ascii="Microsoft YaHei" w:cs="Microsoft YaHei" w:eastAsia="Microsoft YaHei" w:hAnsi="Microsoft YaHei"/>
          <w:color w:val="1F2933"/>
          <w:sz w:val="21"/>
          <w:szCs w:val="21"/>
        </w:rPr>
        <w:t xml:space="preserve">国内表计换表与累积量溢出是常态，因此累积读数与区间增量必须在模型层分离，不能在历史汇总时现场处理。</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720"/>
        <w:gridCol w:w="1440"/>
        <w:gridCol w:w="1980"/>
        <w:gridCol w:w="4860"/>
      </w:tblGrid>
      <w:tr>
        <w:trPr>
          <w:tblHeader/>
        </w:trPr>
        <w:tc>
          <w:tcPr>
            <w:tcW w:type="dxa" w:w="72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层</w:t>
            </w:r>
          </w:p>
        </w:tc>
        <w:tc>
          <w:tcPr>
            <w:tcW w:type="dxa" w:w="144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名称</w:t>
            </w:r>
          </w:p>
        </w:tc>
        <w:tc>
          <w:tcPr>
            <w:tcW w:type="dxa" w:w="19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标签</w:t>
            </w:r>
          </w:p>
        </w:tc>
        <w:tc>
          <w:tcPr>
            <w:tcW w:type="dxa" w:w="486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职责</w:t>
            </w:r>
          </w:p>
        </w:tc>
      </w:tr>
      <w:tr>
        <w:tc>
          <w:tcPr>
            <w:tcW w:type="dxa" w:w="7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L1</w:t>
            </w:r>
          </w:p>
        </w:tc>
        <w:tc>
          <w:tcPr>
            <w:tcW w:type="dxa" w:w="14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累积读数</w:t>
            </w:r>
          </w:p>
        </w:tc>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total + sensor</w:t>
            </w:r>
          </w:p>
        </w:tc>
        <w:tc>
          <w:tcPr>
            <w:tcW w:type="dxa" w:w="48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表底数，直采只读，禁止修改</w:t>
            </w:r>
          </w:p>
        </w:tc>
      </w:tr>
      <w:tr>
        <w:tc>
          <w:tcPr>
            <w:tcW w:type="dxa" w:w="7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L2</w:t>
            </w:r>
          </w:p>
        </w:tc>
        <w:tc>
          <w:tcPr>
            <w:tcW w:type="dxa" w:w="14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区间增量</w:t>
            </w:r>
          </w:p>
        </w:tc>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emDelta</w:t>
            </w:r>
          </w:p>
        </w:tc>
        <w:tc>
          <w:tcPr>
            <w:tcW w:type="dxa" w:w="486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由 L1 差分，含溢出补偿（emMaxReading）与换表补偿（emInstallDate）</w:t>
            </w:r>
          </w:p>
        </w:tc>
      </w:tr>
      <w:tr>
        <w:tc>
          <w:tcPr>
            <w:tcW w:type="dxa" w:w="7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L3</w:t>
            </w:r>
          </w:p>
        </w:tc>
        <w:tc>
          <w:tcPr>
            <w:tcW w:type="dxa" w:w="14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归一化指标</w:t>
            </w:r>
          </w:p>
        </w:tc>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emNormalized</w:t>
            </w:r>
          </w:p>
        </w:tc>
        <w:tc>
          <w:tcPr>
            <w:tcW w:type="dxa" w:w="48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单位面积、单位人数或度日数修正后的指标，由业务层生成</w:t>
            </w:r>
          </w:p>
        </w:tc>
      </w:tr>
    </w:tbl>
    <w:p>
      <w:pPr>
        <w:spacing w:after="200" w:before="80"/>
        <w:jc w:val="center"/>
      </w:pPr>
      <w:r>
        <w:rPr>
          <w:rFonts w:ascii="Microsoft YaHei" w:cs="Microsoft YaHei" w:eastAsia="Microsoft YaHei" w:hAnsi="Microsoft YaHei"/>
          <w:color w:val="5B6B7A"/>
          <w:sz w:val="17"/>
          <w:szCs w:val="17"/>
        </w:rPr>
        <w:t xml:space="preserve">表 3-6  点位三层规范</w:t>
      </w:r>
    </w:p>
    <w:p>
      <w:pPr>
        <w:spacing w:after="120" w:before="60" w:line="300"/>
      </w:pPr>
      <w:r>
        <w:rPr>
          <w:rFonts w:ascii="Microsoft YaHei" w:cs="Microsoft YaHei" w:eastAsia="Microsoft YaHei" w:hAnsi="Microsoft YaHei"/>
          <w:color w:val="1F2933"/>
          <w:sz w:val="21"/>
          <w:szCs w:val="21"/>
        </w:rPr>
        <w:t xml:space="preserve">L1 与 L2 点位强制启用历史记录，插值方式为线性，时区继承站点设置，默认采样周期 15 分钟。</w:t>
      </w:r>
    </w:p>
    <w:p>
      <w:pPr>
        <w:pStyle w:val="Heading2"/>
        <w:spacing w:after="120" w:before="260"/>
      </w:pPr>
      <w:r>
        <w:rPr>
          <w:rFonts w:ascii="Microsoft YaHei" w:cs="Microsoft YaHei" w:eastAsia="Microsoft YaHei" w:hAnsi="Microsoft YaHei"/>
          <w:b/>
          <w:bCs/>
          <w:color w:val="0E7C86"/>
          <w:sz w:val="25"/>
          <w:szCs w:val="25"/>
        </w:rPr>
        <w:t xml:space="preserve">3.7  分项计量映射</w:t>
      </w:r>
    </w:p>
    <w:p>
      <w:pPr>
        <w:spacing w:after="120" w:before="60" w:line="300"/>
      </w:pPr>
      <w:r>
        <w:rPr>
          <w:rFonts w:ascii="Microsoft YaHei" w:cs="Microsoft YaHei" w:eastAsia="Microsoft YaHei" w:hAnsi="Microsoft YaHei"/>
          <w:color w:val="1F2933"/>
          <w:sz w:val="21"/>
          <w:szCs w:val="21"/>
        </w:rPr>
        <w:t xml:space="preserve">emSubItem 枚举严格对齐《大型公共建筑能耗监测系统分项能耗数据采集技术导则》，同时挂在 EmElecMeter 与 EmLoad 两处：有表的按表计算，无表的按 EmLoad 权重分摊。</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720"/>
        <w:gridCol w:w="1440"/>
        <w:gridCol w:w="2160"/>
        <w:gridCol w:w="4680"/>
      </w:tblGrid>
      <w:tr>
        <w:trPr>
          <w:tblHeader/>
        </w:trPr>
        <w:tc>
          <w:tcPr>
            <w:tcW w:type="dxa" w:w="72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代码</w:t>
            </w:r>
          </w:p>
        </w:tc>
        <w:tc>
          <w:tcPr>
            <w:tcW w:type="dxa" w:w="144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分项</w:t>
            </w:r>
          </w:p>
        </w:tc>
        <w:tc>
          <w:tcPr>
            <w:tcW w:type="dxa" w:w="216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子项</w:t>
            </w:r>
          </w:p>
        </w:tc>
        <w:tc>
          <w:tcPr>
            <w:tcW w:type="dxa" w:w="46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典型计量对象</w:t>
            </w:r>
          </w:p>
        </w:tc>
      </w:tr>
      <w:tr>
        <w:tc>
          <w:tcPr>
            <w:tcW w:type="dxa" w:w="7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A1</w:t>
            </w:r>
          </w:p>
        </w:tc>
        <w:tc>
          <w:tcPr>
            <w:tcW w:type="dxa" w:w="14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照明插座</w:t>
            </w:r>
          </w:p>
        </w:tc>
        <w:tc>
          <w:tcPr>
            <w:tcW w:type="dxa" w:w="21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室内照明与插座</w:t>
            </w:r>
          </w:p>
        </w:tc>
        <w:tc>
          <w:tcPr>
            <w:tcW w:type="dxa" w:w="46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楼层照明回路、插座回路</w:t>
            </w:r>
          </w:p>
        </w:tc>
      </w:tr>
      <w:tr>
        <w:tc>
          <w:tcPr>
            <w:tcW w:type="dxa" w:w="7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A2</w:t>
            </w:r>
          </w:p>
        </w:tc>
        <w:tc>
          <w:tcPr>
            <w:tcW w:type="dxa" w:w="14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照明插座</w:t>
            </w:r>
          </w:p>
        </w:tc>
        <w:tc>
          <w:tcPr>
            <w:tcW w:type="dxa" w:w="216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走廊与应急照明</w:t>
            </w:r>
          </w:p>
        </w:tc>
        <w:tc>
          <w:tcPr>
            <w:tcW w:type="dxa" w:w="46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公区照明配电箱</w:t>
            </w:r>
          </w:p>
        </w:tc>
      </w:tr>
      <w:tr>
        <w:tc>
          <w:tcPr>
            <w:tcW w:type="dxa" w:w="7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A3</w:t>
            </w:r>
          </w:p>
        </w:tc>
        <w:tc>
          <w:tcPr>
            <w:tcW w:type="dxa" w:w="14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照明插座</w:t>
            </w:r>
          </w:p>
        </w:tc>
        <w:tc>
          <w:tcPr>
            <w:tcW w:type="dxa" w:w="21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室外景观照明</w:t>
            </w:r>
          </w:p>
        </w:tc>
        <w:tc>
          <w:tcPr>
            <w:tcW w:type="dxa" w:w="46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泛光照明配电箱</w:t>
            </w:r>
          </w:p>
        </w:tc>
      </w:tr>
      <w:tr>
        <w:tc>
          <w:tcPr>
            <w:tcW w:type="dxa" w:w="7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B1</w:t>
            </w:r>
          </w:p>
        </w:tc>
        <w:tc>
          <w:tcPr>
            <w:tcW w:type="dxa" w:w="14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空调用电</w:t>
            </w:r>
          </w:p>
        </w:tc>
        <w:tc>
          <w:tcPr>
            <w:tcW w:type="dxa" w:w="216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冷热站</w:t>
            </w:r>
          </w:p>
        </w:tc>
        <w:tc>
          <w:tcPr>
            <w:tcW w:type="dxa" w:w="46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冷机、冷冻泵、冷却泵、冷却塔</w:t>
            </w:r>
          </w:p>
        </w:tc>
      </w:tr>
      <w:tr>
        <w:tc>
          <w:tcPr>
            <w:tcW w:type="dxa" w:w="7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B2</w:t>
            </w:r>
          </w:p>
        </w:tc>
        <w:tc>
          <w:tcPr>
            <w:tcW w:type="dxa" w:w="14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空调用电</w:t>
            </w:r>
          </w:p>
        </w:tc>
        <w:tc>
          <w:tcPr>
            <w:tcW w:type="dxa" w:w="21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空调末端</w:t>
            </w:r>
          </w:p>
        </w:tc>
        <w:tc>
          <w:tcPr>
            <w:tcW w:type="dxa" w:w="46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空调箱、新风机组、风机盘管回路</w:t>
            </w:r>
          </w:p>
        </w:tc>
      </w:tr>
      <w:tr>
        <w:tc>
          <w:tcPr>
            <w:tcW w:type="dxa" w:w="7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C1</w:t>
            </w:r>
          </w:p>
        </w:tc>
        <w:tc>
          <w:tcPr>
            <w:tcW w:type="dxa" w:w="14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动力用电</w:t>
            </w:r>
          </w:p>
        </w:tc>
        <w:tc>
          <w:tcPr>
            <w:tcW w:type="dxa" w:w="216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电梯扶梯</w:t>
            </w:r>
          </w:p>
        </w:tc>
        <w:tc>
          <w:tcPr>
            <w:tcW w:type="dxa" w:w="46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电梯机房配电</w:t>
            </w:r>
          </w:p>
        </w:tc>
      </w:tr>
      <w:tr>
        <w:tc>
          <w:tcPr>
            <w:tcW w:type="dxa" w:w="7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C2</w:t>
            </w:r>
          </w:p>
        </w:tc>
        <w:tc>
          <w:tcPr>
            <w:tcW w:type="dxa" w:w="14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动力用电</w:t>
            </w:r>
          </w:p>
        </w:tc>
        <w:tc>
          <w:tcPr>
            <w:tcW w:type="dxa" w:w="21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水泵</w:t>
            </w:r>
          </w:p>
        </w:tc>
        <w:tc>
          <w:tcPr>
            <w:tcW w:type="dxa" w:w="46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生活给水泵、排污泵</w:t>
            </w:r>
          </w:p>
        </w:tc>
      </w:tr>
      <w:tr>
        <w:tc>
          <w:tcPr>
            <w:tcW w:type="dxa" w:w="7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C3</w:t>
            </w:r>
          </w:p>
        </w:tc>
        <w:tc>
          <w:tcPr>
            <w:tcW w:type="dxa" w:w="14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动力用电</w:t>
            </w:r>
          </w:p>
        </w:tc>
        <w:tc>
          <w:tcPr>
            <w:tcW w:type="dxa" w:w="216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通风机</w:t>
            </w:r>
          </w:p>
        </w:tc>
        <w:tc>
          <w:tcPr>
            <w:tcW w:type="dxa" w:w="46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车库排风、消防补风</w:t>
            </w:r>
          </w:p>
        </w:tc>
      </w:tr>
      <w:tr>
        <w:tc>
          <w:tcPr>
            <w:tcW w:type="dxa" w:w="7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D1</w:t>
            </w:r>
          </w:p>
        </w:tc>
        <w:tc>
          <w:tcPr>
            <w:tcW w:type="dxa" w:w="14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特殊用电</w:t>
            </w:r>
          </w:p>
        </w:tc>
        <w:tc>
          <w:tcPr>
            <w:tcW w:type="dxa" w:w="21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信息中心</w:t>
            </w:r>
          </w:p>
        </w:tc>
        <w:tc>
          <w:tcPr>
            <w:tcW w:type="dxa" w:w="46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数据机房、UPS、精密空调</w:t>
            </w:r>
          </w:p>
        </w:tc>
      </w:tr>
      <w:tr>
        <w:tc>
          <w:tcPr>
            <w:tcW w:type="dxa" w:w="7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D2</w:t>
            </w:r>
          </w:p>
        </w:tc>
        <w:tc>
          <w:tcPr>
            <w:tcW w:type="dxa" w:w="14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特殊用电</w:t>
            </w:r>
          </w:p>
        </w:tc>
        <w:tc>
          <w:tcPr>
            <w:tcW w:type="dxa" w:w="216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厨房餐厅</w:t>
            </w:r>
          </w:p>
        </w:tc>
        <w:tc>
          <w:tcPr>
            <w:tcW w:type="dxa" w:w="46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餐饮商户总表</w:t>
            </w:r>
          </w:p>
        </w:tc>
      </w:tr>
      <w:tr>
        <w:tc>
          <w:tcPr>
            <w:tcW w:type="dxa" w:w="7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D3</w:t>
            </w:r>
          </w:p>
        </w:tc>
        <w:tc>
          <w:tcPr>
            <w:tcW w:type="dxa" w:w="14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特殊用电</w:t>
            </w:r>
          </w:p>
        </w:tc>
        <w:tc>
          <w:tcPr>
            <w:tcW w:type="dxa" w:w="21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洗衣房</w:t>
            </w:r>
          </w:p>
        </w:tc>
        <w:tc>
          <w:tcPr>
            <w:tcW w:type="dxa" w:w="46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洗衣设备配电</w:t>
            </w:r>
          </w:p>
        </w:tc>
      </w:tr>
      <w:tr>
        <w:tc>
          <w:tcPr>
            <w:tcW w:type="dxa" w:w="7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D4</w:t>
            </w:r>
          </w:p>
        </w:tc>
        <w:tc>
          <w:tcPr>
            <w:tcW w:type="dxa" w:w="14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特殊用电</w:t>
            </w:r>
          </w:p>
        </w:tc>
        <w:tc>
          <w:tcPr>
            <w:tcW w:type="dxa" w:w="216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游泳池</w:t>
            </w:r>
          </w:p>
        </w:tc>
        <w:tc>
          <w:tcPr>
            <w:tcW w:type="dxa" w:w="46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泳池循环加热</w:t>
            </w:r>
          </w:p>
        </w:tc>
      </w:tr>
      <w:tr>
        <w:tc>
          <w:tcPr>
            <w:tcW w:type="dxa" w:w="7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D5</w:t>
            </w:r>
          </w:p>
        </w:tc>
        <w:tc>
          <w:tcPr>
            <w:tcW w:type="dxa" w:w="14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特殊用电</w:t>
            </w:r>
          </w:p>
        </w:tc>
        <w:tc>
          <w:tcPr>
            <w:tcW w:type="dxa" w:w="21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健身娱乐</w:t>
            </w:r>
          </w:p>
        </w:tc>
        <w:tc>
          <w:tcPr>
            <w:tcW w:type="dxa" w:w="46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健身房、影院</w:t>
            </w:r>
          </w:p>
        </w:tc>
      </w:tr>
      <w:tr>
        <w:tc>
          <w:tcPr>
            <w:tcW w:type="dxa" w:w="7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D6</w:t>
            </w:r>
          </w:p>
        </w:tc>
        <w:tc>
          <w:tcPr>
            <w:tcW w:type="dxa" w:w="14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特殊用电</w:t>
            </w:r>
          </w:p>
        </w:tc>
        <w:tc>
          <w:tcPr>
            <w:tcW w:type="dxa" w:w="216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其他</w:t>
            </w:r>
          </w:p>
        </w:tc>
        <w:tc>
          <w:tcPr>
            <w:tcW w:type="dxa" w:w="46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充电桩、舞台、工艺设备</w:t>
            </w:r>
          </w:p>
        </w:tc>
      </w:tr>
    </w:tbl>
    <w:p>
      <w:pPr>
        <w:spacing w:after="200" w:before="80"/>
        <w:jc w:val="center"/>
      </w:pPr>
      <w:r>
        <w:rPr>
          <w:rFonts w:ascii="Microsoft YaHei" w:cs="Microsoft YaHei" w:eastAsia="Microsoft YaHei" w:hAnsi="Microsoft YaHei"/>
          <w:color w:val="5B6B7A"/>
          <w:sz w:val="17"/>
          <w:szCs w:val="17"/>
        </w:rPr>
        <w:t xml:space="preserve">表 3-7  GB 分项计量映射</w:t>
      </w:r>
    </w:p>
    <w:p>
      <w:pPr>
        <w:pStyle w:val="Heading1"/>
        <w:pageBreakBefore/>
        <w:pBdr>
          <w:bottom w:val="single" w:color="1597A5" w:sz="10" w:space="6"/>
        </w:pBdr>
        <w:spacing w:after="160" w:before="320"/>
      </w:pPr>
      <w:r>
        <w:rPr>
          <w:rFonts w:ascii="Microsoft YaHei" w:cs="Microsoft YaHei" w:eastAsia="Microsoft YaHei" w:hAnsi="Microsoft YaHei"/>
          <w:b/>
          <w:bCs/>
          <w:color w:val="0E2A47"/>
          <w:sz w:val="30"/>
          <w:szCs w:val="30"/>
        </w:rPr>
        <w:t xml:space="preserve">4  Layer 2：能源管理业务对象模型</w:t>
      </w:r>
    </w:p>
    <w:p>
      <w:pPr>
        <w:pStyle w:val="Heading2"/>
        <w:spacing w:after="120" w:before="260"/>
      </w:pPr>
      <w:r>
        <w:rPr>
          <w:rFonts w:ascii="Microsoft YaHei" w:cs="Microsoft YaHei" w:eastAsia="Microsoft YaHei" w:hAnsi="Microsoft YaHei"/>
          <w:b/>
          <w:bCs/>
          <w:color w:val="0E7C86"/>
          <w:sz w:val="25"/>
          <w:szCs w:val="25"/>
        </w:rPr>
        <w:t xml:space="preserve">4.1  建模铁律</w:t>
      </w:r>
    </w:p>
    <w:p>
      <w:pPr>
        <w:pStyle w:val="ListParagraph"/>
        <w:numPr>
          <w:ilvl w:val="0"/>
          <w:numId w:val="2"/>
        </w:numPr>
        <w:spacing w:after="60" w:before="40" w:line="290"/>
      </w:pPr>
      <w:r>
        <w:rPr>
          <w:rFonts w:ascii="Microsoft YaHei" w:cs="Microsoft YaHei" w:eastAsia="Microsoft YaHei" w:hAnsi="Microsoft YaHei"/>
          <w:color w:val="1F2933"/>
          <w:sz w:val="21"/>
          <w:szCs w:val="21"/>
        </w:rPr>
        <w:t xml:space="preserve">业务对象只读 EmLedgerEntry，禁止直接读取点位历史。</w:t>
      </w:r>
    </w:p>
    <w:p>
      <w:pPr>
        <w:pStyle w:val="ListParagraph"/>
        <w:numPr>
          <w:ilvl w:val="0"/>
          <w:numId w:val="2"/>
        </w:numPr>
        <w:spacing w:after="60" w:before="40" w:line="290"/>
      </w:pPr>
      <w:r>
        <w:rPr>
          <w:rFonts w:ascii="Microsoft YaHei" w:cs="Microsoft YaHei" w:eastAsia="Microsoft YaHei" w:hAnsi="Microsoft YaHei"/>
          <w:color w:val="1F2933"/>
          <w:sz w:val="21"/>
          <w:szCs w:val="21"/>
        </w:rPr>
        <w:t xml:space="preserve">台账关账后不可变，任何修正一律走红冲（emReversalOf），原条目保留不删。</w:t>
      </w:r>
    </w:p>
    <w:p>
      <w:pPr>
        <w:pStyle w:val="ListParagraph"/>
        <w:numPr>
          <w:ilvl w:val="0"/>
          <w:numId w:val="2"/>
        </w:numPr>
        <w:spacing w:after="60" w:before="40" w:line="290"/>
      </w:pPr>
      <w:r>
        <w:rPr>
          <w:rFonts w:ascii="Microsoft YaHei" w:cs="Microsoft YaHei" w:eastAsia="Microsoft YaHei" w:hAnsi="Microsoft YaHei"/>
          <w:color w:val="1F2933"/>
          <w:sz w:val="21"/>
          <w:szCs w:val="21"/>
        </w:rPr>
        <w:t xml:space="preserve">业务参数（费率 EmTariff、排放因子 EmEmissionFactor）随时间版本化，且必填 emSourceDoc 依据文件号。</w:t>
      </w:r>
    </w:p>
    <w:p>
      <w:pPr>
        <w:pStyle w:val="ListParagraph"/>
        <w:numPr>
          <w:ilvl w:val="0"/>
          <w:numId w:val="2"/>
        </w:numPr>
        <w:spacing w:after="60" w:before="40" w:line="290"/>
      </w:pPr>
      <w:r>
        <w:rPr>
          <w:rFonts w:ascii="Microsoft YaHei" w:cs="Microsoft YaHei" w:eastAsia="Microsoft YaHei" w:hAnsi="Microsoft YaHei"/>
          <w:color w:val="1F2933"/>
          <w:sz w:val="21"/>
          <w:szCs w:val="21"/>
        </w:rPr>
        <w:t xml:space="preserve">账单、碳账、指标均为台账的确定性投影，任一参数换版可无损重算。</w:t>
      </w:r>
    </w:p>
    <w:p>
      <w:pPr>
        <w:pStyle w:val="ListParagraph"/>
        <w:numPr>
          <w:ilvl w:val="0"/>
          <w:numId w:val="2"/>
        </w:numPr>
        <w:spacing w:after="60" w:before="40" w:line="290"/>
      </w:pPr>
      <w:r>
        <w:rPr>
          <w:rFonts w:ascii="Microsoft YaHei" w:cs="Microsoft YaHei" w:eastAsia="Microsoft YaHei" w:hAnsi="Microsoft YaHei"/>
          <w:color w:val="1F2933"/>
          <w:sz w:val="21"/>
          <w:szCs w:val="21"/>
        </w:rPr>
        <w:t xml:space="preserve">节能量默认标记为规划目标（emVerifyStatus: planned），未经 IPMVP 基线核证不得以已核证口径对外发布。</w:t>
      </w:r>
    </w:p>
    <w:p>
      <w:pPr>
        <w:pStyle w:val="Heading2"/>
        <w:spacing w:after="120" w:before="260"/>
      </w:pPr>
      <w:r>
        <w:rPr>
          <w:rFonts w:ascii="Microsoft YaHei" w:cs="Microsoft YaHei" w:eastAsia="Microsoft YaHei" w:hAnsi="Microsoft YaHei"/>
          <w:b/>
          <w:bCs/>
          <w:color w:val="0E7C86"/>
          <w:sz w:val="25"/>
          <w:szCs w:val="25"/>
        </w:rPr>
        <w:t xml:space="preserve">4.2  域五  能耗台账</w:t>
      </w:r>
    </w:p>
    <w:p>
      <w:pPr>
        <w:spacing w:after="120" w:before="60" w:line="300"/>
      </w:pPr>
      <w:r>
        <w:rPr>
          <w:rFonts w:ascii="Microsoft YaHei" w:cs="Microsoft YaHei" w:eastAsia="Microsoft YaHei" w:hAnsi="Microsoft YaHei"/>
          <w:color w:val="1F2933"/>
          <w:sz w:val="21"/>
          <w:szCs w:val="21"/>
        </w:rPr>
        <w:t xml:space="preserve">L2 delta 点是读数，台账是账目。两者之间必须有一层不可变的事实表，否则数据修正无法回溯、账单无法审计。EmLedgerEntry 承担这个角色。</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980"/>
        <w:gridCol w:w="1620"/>
        <w:gridCol w:w="5400"/>
      </w:tblGrid>
      <w:tr>
        <w:trPr>
          <w:tblHeader/>
        </w:trPr>
        <w:tc>
          <w:tcPr>
            <w:tcW w:type="dxa" w:w="19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属性</w:t>
            </w:r>
          </w:p>
        </w:tc>
        <w:tc>
          <w:tcPr>
            <w:tcW w:type="dxa" w:w="162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类型</w:t>
            </w:r>
          </w:p>
        </w:tc>
        <w:tc>
          <w:tcPr>
            <w:tcW w:type="dxa" w:w="540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说明</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meterRef</w:t>
            </w:r>
          </w:p>
        </w:tc>
        <w:tc>
          <w:tcPr>
            <w:tcW w:type="dxa" w:w="16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Ref</w:t>
            </w:r>
          </w:p>
        </w:tc>
        <w:tc>
          <w:tcPr>
            <w:tcW w:type="dxa" w:w="54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来源表，物理或虚拟</w:t>
            </w:r>
          </w:p>
        </w:tc>
      </w:tr>
      <w:tr>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emMediumId</w:t>
            </w:r>
          </w:p>
        </w:tc>
        <w:tc>
          <w:tcPr>
            <w:tcW w:type="dxa" w:w="16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Str</w:t>
            </w:r>
          </w:p>
        </w:tc>
        <w:tc>
          <w:tcPr>
            <w:tcW w:type="dxa" w:w="54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介质标识</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emSubItem</w:t>
            </w:r>
          </w:p>
        </w:tc>
        <w:tc>
          <w:tcPr>
            <w:tcW w:type="dxa" w:w="16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EmSubItem?</w:t>
            </w:r>
          </w:p>
        </w:tc>
        <w:tc>
          <w:tcPr>
            <w:tcW w:type="dxa" w:w="54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分项归类，仅电介质有效</w:t>
            </w:r>
          </w:p>
        </w:tc>
      </w:tr>
      <w:tr>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span</w:t>
            </w:r>
          </w:p>
        </w:tc>
        <w:tc>
          <w:tcPr>
            <w:tcW w:type="dxa" w:w="16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Span</w:t>
            </w:r>
          </w:p>
        </w:tc>
        <w:tc>
          <w:tcPr>
            <w:tcW w:type="dxa" w:w="54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账期区间，左闭右开</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emGranularity</w:t>
            </w:r>
          </w:p>
        </w:tc>
        <w:tc>
          <w:tcPr>
            <w:tcW w:type="dxa" w:w="16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Enum</w:t>
            </w:r>
          </w:p>
        </w:tc>
        <w:tc>
          <w:tcPr>
            <w:tcW w:type="dxa" w:w="54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hourly / daily / monthly / yearly</w:t>
            </w:r>
          </w:p>
        </w:tc>
      </w:tr>
      <w:tr>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val</w:t>
            </w:r>
          </w:p>
        </w:tc>
        <w:tc>
          <w:tcPr>
            <w:tcW w:type="dxa" w:w="16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Number</w:t>
            </w:r>
          </w:p>
        </w:tc>
        <w:tc>
          <w:tcPr>
            <w:tcW w:type="dxa" w:w="54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用量，单位随介质</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emDataSource</w:t>
            </w:r>
          </w:p>
        </w:tc>
        <w:tc>
          <w:tcPr>
            <w:tcW w:type="dxa" w:w="16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Enum</w:t>
            </w:r>
          </w:p>
        </w:tc>
        <w:tc>
          <w:tcPr>
            <w:tcW w:type="dxa" w:w="54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实测 / 推导 / 分摊 / 估算 / 人工</w:t>
            </w:r>
          </w:p>
        </w:tc>
      </w:tr>
      <w:tr>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emQuality</w:t>
            </w:r>
          </w:p>
        </w:tc>
        <w:tc>
          <w:tcPr>
            <w:tcW w:type="dxa" w:w="16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Number?</w:t>
            </w:r>
          </w:p>
        </w:tc>
        <w:tc>
          <w:tcPr>
            <w:tcW w:type="dxa" w:w="54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数据完好率，有效采样数除以应采样数</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emClosed</w:t>
            </w:r>
          </w:p>
        </w:tc>
        <w:tc>
          <w:tcPr>
            <w:tcW w:type="dxa" w:w="16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Marker?</w:t>
            </w:r>
          </w:p>
        </w:tc>
        <w:tc>
          <w:tcPr>
            <w:tcW w:type="dxa" w:w="54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已关账，不可修改</w:t>
            </w:r>
          </w:p>
        </w:tc>
      </w:tr>
      <w:tr>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emReversalOf</w:t>
            </w:r>
          </w:p>
        </w:tc>
        <w:tc>
          <w:tcPr>
            <w:tcW w:type="dxa" w:w="16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Ref?</w:t>
            </w:r>
          </w:p>
        </w:tc>
        <w:tc>
          <w:tcPr>
            <w:tcW w:type="dxa" w:w="54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红冲指向被冲销条目</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emRuleRef</w:t>
            </w:r>
          </w:p>
        </w:tc>
        <w:tc>
          <w:tcPr>
            <w:tcW w:type="dxa" w:w="16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Ref?</w:t>
            </w:r>
          </w:p>
        </w:tc>
        <w:tc>
          <w:tcPr>
            <w:tcW w:type="dxa" w:w="54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若为分摊产生，指向分摊规则</w:t>
            </w:r>
          </w:p>
        </w:tc>
      </w:tr>
    </w:tbl>
    <w:p>
      <w:pPr>
        <w:spacing w:after="200" w:before="80"/>
        <w:jc w:val="center"/>
      </w:pPr>
      <w:r>
        <w:rPr>
          <w:rFonts w:ascii="Microsoft YaHei" w:cs="Microsoft YaHei" w:eastAsia="Microsoft YaHei" w:hAnsi="Microsoft YaHei"/>
          <w:color w:val="5B6B7A"/>
          <w:sz w:val="17"/>
          <w:szCs w:val="17"/>
        </w:rPr>
        <w:t xml:space="preserve">表 4-1  EmLedgerEntry 属性</w:t>
      </w:r>
    </w:p>
    <w:p>
      <w:pPr>
        <w:spacing w:after="120" w:before="60" w:line="300"/>
      </w:pPr>
      <w:r>
        <w:rPr>
          <w:rFonts w:ascii="Microsoft YaHei" w:cs="Microsoft YaHei" w:eastAsia="Microsoft YaHei" w:hAnsi="Microsoft YaHei"/>
          <w:color w:val="1F2933"/>
          <w:sz w:val="21"/>
          <w:szCs w:val="21"/>
        </w:rPr>
        <w:t xml:space="preserve">EmClosePeriod 记录每次关账操作，携带本期缺口率 emGapRatio 与条目数，支撑审计与重算。</w:t>
      </w:r>
    </w:p>
    <w:p>
      <w:pPr>
        <w:pStyle w:val="Heading2"/>
        <w:spacing w:after="120" w:before="260"/>
      </w:pPr>
      <w:r>
        <w:rPr>
          <w:rFonts w:ascii="Microsoft YaHei" w:cs="Microsoft YaHei" w:eastAsia="Microsoft YaHei" w:hAnsi="Microsoft YaHei"/>
          <w:b/>
          <w:bCs/>
          <w:color w:val="0E7C86"/>
          <w:sz w:val="25"/>
          <w:szCs w:val="25"/>
        </w:rPr>
        <w:t xml:space="preserve">4.3  域六  分摊规则引擎</w:t>
      </w:r>
    </w:p>
    <w:p>
      <w:pPr>
        <w:spacing w:after="120" w:before="60" w:line="300"/>
      </w:pPr>
      <w:r>
        <w:rPr>
          <w:rFonts w:ascii="Microsoft YaHei" w:cs="Microsoft YaHei" w:eastAsia="Microsoft YaHei" w:hAnsi="Microsoft YaHei"/>
          <w:color w:val="1F2933"/>
          <w:sz w:val="21"/>
          <w:szCs w:val="21"/>
        </w:rPr>
        <w:t xml:space="preserve">分摊是生成台账条目的一等公民行为，规则可版本化、可追溯、可重算。任何分摊结果条目必须携带 emRuleRef，且 emDataSource 恒为 allocated。</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980"/>
        <w:gridCol w:w="7020"/>
      </w:tblGrid>
      <w:tr>
        <w:trPr>
          <w:tblHeader/>
        </w:trPr>
        <w:tc>
          <w:tcPr>
            <w:tcW w:type="dxa" w:w="19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方法</w:t>
            </w:r>
          </w:p>
        </w:tc>
        <w:tc>
          <w:tcPr>
            <w:tcW w:type="dxa" w:w="702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说明</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byArea</w:t>
            </w:r>
          </w:p>
        </w:tc>
        <w:tc>
          <w:tcPr>
            <w:tcW w:type="dxa" w:w="70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按面积分摊，取租赁面积或空调面积</w:t>
            </w:r>
          </w:p>
        </w:tc>
      </w:tr>
      <w:tr>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byHeadcount</w:t>
            </w:r>
          </w:p>
        </w:tc>
        <w:tc>
          <w:tcPr>
            <w:tcW w:type="dxa" w:w="70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按人数分摊</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byFixedRatio</w:t>
            </w:r>
          </w:p>
        </w:tc>
        <w:tc>
          <w:tcPr>
            <w:tcW w:type="dxa" w:w="70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按固定比例分摊，比例见 emShares</w:t>
            </w:r>
          </w:p>
        </w:tc>
      </w:tr>
      <w:tr>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byRatedRuntime</w:t>
            </w:r>
          </w:p>
        </w:tc>
        <w:tc>
          <w:tcPr>
            <w:tcW w:type="dxa" w:w="70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按额定功率乘以运行时长分摊</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byRemainder</w:t>
            </w:r>
          </w:p>
        </w:tc>
        <w:tc>
          <w:tcPr>
            <w:tcW w:type="dxa" w:w="70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差值法，源表减去已计量子表之和</w:t>
            </w:r>
          </w:p>
        </w:tc>
      </w:tr>
      <w:tr>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bySubMeterPro</w:t>
            </w:r>
          </w:p>
        </w:tc>
        <w:tc>
          <w:tcPr>
            <w:tcW w:type="dxa" w:w="70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按已计量子表用量比例分摊公摊部分</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custom</w:t>
            </w:r>
          </w:p>
        </w:tc>
        <w:tc>
          <w:tcPr>
            <w:tcW w:type="dxa" w:w="70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自定义 Axon 表达式</w:t>
            </w:r>
          </w:p>
        </w:tc>
      </w:tr>
    </w:tbl>
    <w:p>
      <w:pPr>
        <w:spacing w:after="200" w:before="80"/>
        <w:jc w:val="center"/>
      </w:pPr>
      <w:r>
        <w:rPr>
          <w:rFonts w:ascii="Microsoft YaHei" w:cs="Microsoft YaHei" w:eastAsia="Microsoft YaHei" w:hAnsi="Microsoft YaHei"/>
          <w:color w:val="5B6B7A"/>
          <w:sz w:val="17"/>
          <w:szCs w:val="17"/>
        </w:rPr>
        <w:t xml:space="preserve">表 4-2  EmAllocMethod 枚举</w:t>
      </w:r>
    </w:p>
    <w:p>
      <w:pPr>
        <w:spacing w:after="120" w:before="60" w:line="300"/>
      </w:pPr>
      <w:r>
        <w:rPr>
          <w:rFonts w:ascii="Microsoft YaHei" w:cs="Microsoft YaHei" w:eastAsia="Microsoft YaHei" w:hAnsi="Microsoft YaHei"/>
          <w:color w:val="1F2933"/>
          <w:sz w:val="21"/>
          <w:szCs w:val="21"/>
        </w:rPr>
        <w:t xml:space="preserve">多条规则同时命中同一对象时，按 emPriority 升序执行。规则携带 emEffective 生效期，换版即新增记录，旧版只读。</w:t>
      </w:r>
    </w:p>
    <w:p>
      <w:pPr>
        <w:pStyle w:val="Heading2"/>
        <w:spacing w:after="120" w:before="260"/>
      </w:pPr>
      <w:r>
        <w:rPr>
          <w:rFonts w:ascii="Microsoft YaHei" w:cs="Microsoft YaHei" w:eastAsia="Microsoft YaHei" w:hAnsi="Microsoft YaHei"/>
          <w:b/>
          <w:bCs/>
          <w:color w:val="0E7C86"/>
          <w:sz w:val="25"/>
          <w:szCs w:val="25"/>
        </w:rPr>
        <w:t xml:space="preserve">4.4  域七  费率、合约与账单</w:t>
      </w:r>
    </w:p>
    <w:p>
      <w:pPr>
        <w:spacing w:after="120" w:before="60" w:line="300"/>
      </w:pPr>
      <w:r>
        <w:rPr>
          <w:rFonts w:ascii="Microsoft YaHei" w:cs="Microsoft YaHei" w:eastAsia="Microsoft YaHei" w:hAnsi="Microsoft YaHei"/>
          <w:color w:val="1F2933"/>
          <w:sz w:val="21"/>
          <w:szCs w:val="21"/>
        </w:rPr>
        <w:t xml:space="preserve">费率是随时间版本化的业务参数，绝不写死在设备属性里。账单只是台账与费率的确定性投影，可无损重算。</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440"/>
        <w:gridCol w:w="2160"/>
        <w:gridCol w:w="5400"/>
      </w:tblGrid>
      <w:tr>
        <w:trPr>
          <w:tblHeader/>
        </w:trPr>
        <w:tc>
          <w:tcPr>
            <w:tcW w:type="dxa" w:w="144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计价模式</w:t>
            </w:r>
          </w:p>
        </w:tc>
        <w:tc>
          <w:tcPr>
            <w:tcW w:type="dxa" w:w="216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说明</w:t>
            </w:r>
          </w:p>
        </w:tc>
        <w:tc>
          <w:tcPr>
            <w:tcW w:type="dxa" w:w="540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关键参数</w:t>
            </w:r>
          </w:p>
        </w:tc>
      </w:tr>
      <w:tr>
        <w:tc>
          <w:tcPr>
            <w:tcW w:type="dxa" w:w="144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flat</w:t>
            </w:r>
          </w:p>
        </w:tc>
        <w:tc>
          <w:tcPr>
            <w:tcW w:type="dxa" w:w="21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单一制</w:t>
            </w:r>
          </w:p>
        </w:tc>
        <w:tc>
          <w:tcPr>
            <w:tcW w:type="dxa" w:w="54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单价</w:t>
            </w:r>
          </w:p>
        </w:tc>
      </w:tr>
      <w:tr>
        <w:tc>
          <w:tcPr>
            <w:tcW w:type="dxa" w:w="144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tou</w:t>
            </w:r>
          </w:p>
        </w:tc>
        <w:tc>
          <w:tcPr>
            <w:tcW w:type="dxa" w:w="216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分时电价</w:t>
            </w:r>
          </w:p>
        </w:tc>
        <w:tc>
          <w:tcPr>
            <w:tcW w:type="dxa" w:w="54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尖、峰、平、谷四时段单价与适用月份、小时</w:t>
            </w:r>
          </w:p>
        </w:tc>
      </w:tr>
      <w:tr>
        <w:tc>
          <w:tcPr>
            <w:tcW w:type="dxa" w:w="144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tiered</w:t>
            </w:r>
          </w:p>
        </w:tc>
        <w:tc>
          <w:tcPr>
            <w:tcW w:type="dxa" w:w="21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阶梯计价</w:t>
            </w:r>
          </w:p>
        </w:tc>
        <w:tc>
          <w:tcPr>
            <w:tcW w:type="dxa" w:w="54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阶梯上下限与对应单价</w:t>
            </w:r>
          </w:p>
        </w:tc>
      </w:tr>
      <w:tr>
        <w:tc>
          <w:tcPr>
            <w:tcW w:type="dxa" w:w="144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twoPart</w:t>
            </w:r>
          </w:p>
        </w:tc>
        <w:tc>
          <w:tcPr>
            <w:tcW w:type="dxa" w:w="216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两部制</w:t>
            </w:r>
          </w:p>
        </w:tc>
        <w:tc>
          <w:tcPr>
            <w:tcW w:type="dxa" w:w="54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电度电费加基本电费，基本电费按容量制或需量制</w:t>
            </w:r>
          </w:p>
        </w:tc>
      </w:tr>
      <w:tr>
        <w:tc>
          <w:tcPr>
            <w:tcW w:type="dxa" w:w="144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contract</w:t>
            </w:r>
          </w:p>
        </w:tc>
        <w:tc>
          <w:tcPr>
            <w:tcW w:type="dxa" w:w="21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合约价</w:t>
            </w:r>
          </w:p>
        </w:tc>
        <w:tc>
          <w:tcPr>
            <w:tcW w:type="dxa" w:w="54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对租户或能源托管的约定价</w:t>
            </w:r>
          </w:p>
        </w:tc>
      </w:tr>
    </w:tbl>
    <w:p>
      <w:pPr>
        <w:spacing w:after="200" w:before="80"/>
        <w:jc w:val="center"/>
      </w:pPr>
      <w:r>
        <w:rPr>
          <w:rFonts w:ascii="Microsoft YaHei" w:cs="Microsoft YaHei" w:eastAsia="Microsoft YaHei" w:hAnsi="Microsoft YaHei"/>
          <w:color w:val="5B6B7A"/>
          <w:sz w:val="17"/>
          <w:szCs w:val="17"/>
        </w:rPr>
        <w:t xml:space="preserve">表 4-3  EmPricingModel 枚举</w:t>
      </w:r>
    </w:p>
    <w:p>
      <w:pPr>
        <w:spacing w:after="120" w:before="60" w:line="300"/>
      </w:pPr>
      <w:r>
        <w:rPr>
          <w:rFonts w:ascii="Microsoft YaHei" w:cs="Microsoft YaHei" w:eastAsia="Microsoft YaHei" w:hAnsi="Microsoft YaHei"/>
          <w:color w:val="1F2933"/>
          <w:sz w:val="21"/>
          <w:szCs w:val="21"/>
        </w:rPr>
        <w:t xml:space="preserve">EmDemandCharge 描述两部制基本电费，区分按变压器容量计费与按最大需量计费，并支持申报需量与超申报加倍系数。</w:t>
      </w:r>
    </w:p>
    <w:p>
      <w:pPr>
        <w:spacing w:after="120" w:before="60" w:line="300"/>
      </w:pPr>
      <w:r>
        <w:rPr>
          <w:rFonts w:ascii="Microsoft YaHei" w:cs="Microsoft YaHei" w:eastAsia="Microsoft YaHei" w:hAnsi="Microsoft YaHei"/>
          <w:color w:val="1F2933"/>
          <w:sz w:val="21"/>
          <w:szCs w:val="21"/>
        </w:rPr>
        <w:t xml:space="preserve">EmBill 的每一个账单项 EmBillItem 通过 ledgerRefs 指向来源台账条目，逐笔可追溯。账单状态覆盖草稿、已开具、争议中、已结清与作废五态。</w:t>
      </w:r>
    </w:p>
    <w:p>
      <w:pPr>
        <w:pStyle w:val="Heading2"/>
        <w:spacing w:after="120" w:before="260"/>
      </w:pPr>
      <w:r>
        <w:rPr>
          <w:rFonts w:ascii="Microsoft YaHei" w:cs="Microsoft YaHei" w:eastAsia="Microsoft YaHei" w:hAnsi="Microsoft YaHei"/>
          <w:b/>
          <w:bCs/>
          <w:color w:val="0E7C86"/>
          <w:sz w:val="25"/>
          <w:szCs w:val="25"/>
        </w:rPr>
        <w:t xml:space="preserve">4.5  域八  指标体系与定额</w:t>
      </w:r>
    </w:p>
    <w:p>
      <w:pPr>
        <w:spacing w:after="120" w:before="60" w:line="300"/>
      </w:pPr>
      <w:r>
        <w:rPr>
          <w:rFonts w:ascii="Microsoft YaHei" w:cs="Microsoft YaHei" w:eastAsia="Microsoft YaHei" w:hAnsi="Microsoft YaHei"/>
          <w:color w:val="1F2933"/>
          <w:sz w:val="21"/>
          <w:szCs w:val="21"/>
        </w:rPr>
        <w:t xml:space="preserve">指标定义与时序实例分离。EmKpi 是可版本化、可跨项目复用的定义，EmKpiPoint 是挂在被评价对象下的归一化时序点，即 Layer 1 点位规范中的 L3。</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980"/>
        <w:gridCol w:w="7020"/>
      </w:tblGrid>
      <w:tr>
        <w:trPr>
          <w:tblHeader/>
        </w:trPr>
        <w:tc>
          <w:tcPr>
            <w:tcW w:type="dxa" w:w="19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对象</w:t>
            </w:r>
          </w:p>
        </w:tc>
        <w:tc>
          <w:tcPr>
            <w:tcW w:type="dxa" w:w="702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职责</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EmKpi</w:t>
            </w:r>
          </w:p>
        </w:tc>
        <w:tc>
          <w:tcPr>
            <w:tcW w:type="dxa" w:w="70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指标定义：稳定编码、Axon 公式、单位、粒度、支持维度、方向性、对标依据</w:t>
            </w:r>
          </w:p>
        </w:tc>
      </w:tr>
      <w:tr>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EmKpiPoint</w:t>
            </w:r>
          </w:p>
        </w:tc>
        <w:tc>
          <w:tcPr>
            <w:tcW w:type="dxa" w:w="70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指标时序实例，可写历史，参与趋势与告警</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EmQuota</w:t>
            </w:r>
          </w:p>
        </w:tc>
        <w:tc>
          <w:tcPr>
            <w:tcW w:type="dxa" w:w="70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定额或限额：受限对象、考核期、限值、来源、预警比例、超限动作</w:t>
            </w:r>
          </w:p>
        </w:tc>
      </w:tr>
    </w:tbl>
    <w:p>
      <w:pPr>
        <w:spacing w:after="200" w:before="80"/>
        <w:jc w:val="center"/>
      </w:pPr>
      <w:r>
        <w:rPr>
          <w:rFonts w:ascii="Microsoft YaHei" w:cs="Microsoft YaHei" w:eastAsia="Microsoft YaHei" w:hAnsi="Microsoft YaHei"/>
          <w:color w:val="5B6B7A"/>
          <w:sz w:val="17"/>
          <w:szCs w:val="17"/>
        </w:rPr>
        <w:t xml:space="preserve">表 4-4  指标域对象</w:t>
      </w:r>
    </w:p>
    <w:p>
      <w:pPr>
        <w:spacing w:after="120" w:before="60" w:line="300"/>
      </w:pPr>
      <w:r>
        <w:rPr>
          <w:rFonts w:ascii="Microsoft YaHei" w:cs="Microsoft YaHei" w:eastAsia="Microsoft YaHei" w:hAnsi="Microsoft YaHei"/>
          <w:color w:val="1F2933"/>
          <w:sz w:val="21"/>
          <w:szCs w:val="21"/>
        </w:rPr>
        <w:t xml:space="preserve">定额来源分为国标地标约束值、历史同期、同类对标、合同约定与人工下达五类，不同来源在报表中需分别标注，不可混用。</w:t>
      </w:r>
    </w:p>
    <w:p>
      <w:pPr>
        <w:pStyle w:val="Heading2"/>
        <w:spacing w:after="120" w:before="260"/>
      </w:pPr>
      <w:r>
        <w:rPr>
          <w:rFonts w:ascii="Microsoft YaHei" w:cs="Microsoft YaHei" w:eastAsia="Microsoft YaHei" w:hAnsi="Microsoft YaHei"/>
          <w:b/>
          <w:bCs/>
          <w:color w:val="0E7C86"/>
          <w:sz w:val="25"/>
          <w:szCs w:val="25"/>
        </w:rPr>
        <w:t xml:space="preserve">4.6  域九  基线与节能量核证</w:t>
      </w:r>
    </w:p>
    <w:tbl>
      <w:tblPr>
        <w:tblW w:type="dxa" w:w="9000"/>
        <w:tblBorders>
          <w:top w:val="single" w:color="C9D6E0" w:sz="4"/>
          <w:left w:val="single" w:color="C49A2E" w:sz="24"/>
          <w:bottom w:val="single" w:color="C9D6E0" w:sz="4"/>
          <w:right w:val="single" w:color="C9D6E0" w:sz="4"/>
          <w:insideH w:val="none"/>
          <w:insideV w:val="none"/>
        </w:tblBorders>
      </w:tblPr>
      <w:tblGrid>
        <w:gridCol w:w="9000"/>
      </w:tblGrid>
      <w:tr>
        <w:trPr>
          <w:cantSplit/>
        </w:trPr>
        <w:tc>
          <w:tcPr>
            <w:tcW w:type="dxa" w:w="9000"/>
            <w:shd w:fill="FCF8EE" w:val="clear"/>
            <w:tcMar>
              <w:top w:type="dxa" w:w="140"/>
              <w:left w:type="dxa" w:w="180"/>
              <w:bottom w:type="dxa" w:w="140"/>
              <w:right w:type="dxa" w:w="180"/>
            </w:tcMar>
          </w:tcPr>
          <w:p>
            <w:pPr>
              <w:spacing w:after="60"/>
            </w:pPr>
            <w:r>
              <w:rPr>
                <w:rFonts w:ascii="Microsoft YaHei" w:cs="Microsoft YaHei" w:eastAsia="Microsoft YaHei" w:hAnsi="Microsoft YaHei"/>
                <w:b/>
                <w:bCs/>
                <w:color w:val="C49A2E"/>
                <w:sz w:val="19"/>
                <w:szCs w:val="19"/>
              </w:rPr>
              <w:t xml:space="preserve">强制约束</w:t>
            </w:r>
          </w:p>
          <w:p>
            <w:pPr>
              <w:spacing w:after="0" w:line="290"/>
            </w:pPr>
            <w:r>
              <w:rPr>
                <w:rFonts w:ascii="Microsoft YaHei" w:cs="Microsoft YaHei" w:eastAsia="Microsoft YaHei" w:hAnsi="Microsoft YaHei"/>
                <w:color w:val="1F2933"/>
                <w:sz w:val="20"/>
                <w:szCs w:val="20"/>
              </w:rPr>
              <w:t xml:space="preserve">任何节能量在通过基线核证前，一律标记为 planned（规划目标）。禁止以已核证口径出现在报表、账单或对外材料中。这一约束与 Layer 1 的 emDataSource 追溯链共同构成本系统对外数字的可信性基础。</w:t>
            </w:r>
          </w:p>
        </w:tc>
      </w:tr>
    </w:tbl>
    <w:p>
      <w:pPr>
        <w:spacing w:after="180"/>
      </w:pPr>
      <w:r>
        <w:rPr>
          <w:rFonts w:ascii="Microsoft YaHei" w:cs="Microsoft YaHei" w:eastAsia="Microsoft YaHei" w:hAnsi="Microsoft YaHei"/>
          <w:color w:val="1F2933"/>
          <w:sz w:val="21"/>
          <w:szCs w:val="21"/>
        </w:rPr>
        <w:t xml:space="preserve"/>
      </w:r>
    </w:p>
    <w:p>
      <w:pPr>
        <w:spacing w:after="120" w:before="60" w:line="300"/>
      </w:pPr>
      <w:r>
        <w:rPr>
          <w:rFonts w:ascii="Microsoft YaHei" w:cs="Microsoft YaHei" w:eastAsia="Microsoft YaHei" w:hAnsi="Microsoft YaHei"/>
          <w:color w:val="1F2933"/>
          <w:sz w:val="21"/>
          <w:szCs w:val="21"/>
        </w:rPr>
        <w:t xml:space="preserve">EmBaseline 描述核证边界内的基线模型，支持 IPMVP 四种选项：</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260"/>
        <w:gridCol w:w="1800"/>
        <w:gridCol w:w="5940"/>
      </w:tblGrid>
      <w:tr>
        <w:trPr>
          <w:tblHeader/>
        </w:trPr>
        <w:tc>
          <w:tcPr>
            <w:tcW w:type="dxa" w:w="126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选项</w:t>
            </w:r>
          </w:p>
        </w:tc>
        <w:tc>
          <w:tcPr>
            <w:tcW w:type="dxa" w:w="180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方法</w:t>
            </w:r>
          </w:p>
        </w:tc>
        <w:tc>
          <w:tcPr>
            <w:tcW w:type="dxa" w:w="594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适用场景</w:t>
            </w:r>
          </w:p>
        </w:tc>
      </w:tr>
      <w:tr>
        <w:tc>
          <w:tcPr>
            <w:tcW w:type="dxa" w:w="12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Option A</w:t>
            </w:r>
          </w:p>
        </w:tc>
        <w:tc>
          <w:tcPr>
            <w:tcW w:type="dxa" w:w="18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部分参数测量</w:t>
            </w:r>
          </w:p>
        </w:tc>
        <w:tc>
          <w:tcPr>
            <w:tcW w:type="dxa" w:w="59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关键参数实测，其余估算，适用于照明改造等</w:t>
            </w:r>
          </w:p>
        </w:tc>
      </w:tr>
      <w:tr>
        <w:tc>
          <w:tcPr>
            <w:tcW w:type="dxa" w:w="12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Option B</w:t>
            </w:r>
          </w:p>
        </w:tc>
        <w:tc>
          <w:tcPr>
            <w:tcW w:type="dxa" w:w="18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全参数测量</w:t>
            </w:r>
          </w:p>
        </w:tc>
        <w:tc>
          <w:tcPr>
            <w:tcW w:type="dxa" w:w="59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措施级独立计量，适用于单一设备改造</w:t>
            </w:r>
          </w:p>
        </w:tc>
      </w:tr>
      <w:tr>
        <w:tc>
          <w:tcPr>
            <w:tcW w:type="dxa" w:w="12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Option C</w:t>
            </w:r>
          </w:p>
        </w:tc>
        <w:tc>
          <w:tcPr>
            <w:tcW w:type="dxa" w:w="18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整体计量</w:t>
            </w:r>
          </w:p>
        </w:tc>
        <w:tc>
          <w:tcPr>
            <w:tcW w:type="dxa" w:w="59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关口表或总表回归，适用于全楼综合措施</w:t>
            </w:r>
          </w:p>
        </w:tc>
      </w:tr>
      <w:tr>
        <w:tc>
          <w:tcPr>
            <w:tcW w:type="dxa" w:w="12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Option D</w:t>
            </w:r>
          </w:p>
        </w:tc>
        <w:tc>
          <w:tcPr>
            <w:tcW w:type="dxa" w:w="18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校准仿真</w:t>
            </w:r>
          </w:p>
        </w:tc>
        <w:tc>
          <w:tcPr>
            <w:tcW w:type="dxa" w:w="59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对接 CoolSim，适用于无完整基准期数据的场景</w:t>
            </w:r>
          </w:p>
        </w:tc>
      </w:tr>
    </w:tbl>
    <w:p>
      <w:pPr>
        <w:spacing w:after="200" w:before="80"/>
        <w:jc w:val="center"/>
      </w:pPr>
      <w:r>
        <w:rPr>
          <w:rFonts w:ascii="Microsoft YaHei" w:cs="Microsoft YaHei" w:eastAsia="Microsoft YaHei" w:hAnsi="Microsoft YaHei"/>
          <w:color w:val="5B6B7A"/>
          <w:sz w:val="17"/>
          <w:szCs w:val="17"/>
        </w:rPr>
        <w:t xml:space="preserve">表 4-5  IPMVP 选项</w:t>
      </w:r>
    </w:p>
    <w:p>
      <w:pPr>
        <w:spacing w:after="120" w:before="60" w:line="300"/>
      </w:pPr>
      <w:r>
        <w:rPr>
          <w:rFonts w:ascii="Microsoft YaHei" w:cs="Microsoft YaHei" w:eastAsia="Microsoft YaHei" w:hAnsi="Microsoft YaHei"/>
          <w:color w:val="1F2933"/>
          <w:sz w:val="21"/>
          <w:szCs w:val="21"/>
        </w:rPr>
        <w:t xml:space="preserve">模型统计验收依据 ASHRAE Guideline 14，月度口径要求决定系数不低于 0.75，CV(RMSE) 不超过 15%，NMBE 在正负 5% 以内；小时口径 CV(RMSE) 放宽至 30%。验收结果记录在 emR2、emCvRmse、emNmbe 与 emValid 字段。</w:t>
      </w:r>
    </w:p>
    <w:p>
      <w:pPr>
        <w:spacing w:after="120" w:before="60" w:line="300"/>
      </w:pPr>
      <w:r>
        <w:rPr>
          <w:rFonts w:ascii="Microsoft YaHei" w:cs="Microsoft YaHei" w:eastAsia="Microsoft YaHei" w:hAnsi="Microsoft YaHei"/>
          <w:color w:val="1F2933"/>
          <w:sz w:val="21"/>
          <w:szCs w:val="21"/>
        </w:rPr>
        <w:t xml:space="preserve">EmSavingsProject 将节能量拆为三个独立字段，任何时候不得相互替代：</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2340"/>
        <w:gridCol w:w="3960"/>
        <w:gridCol w:w="2700"/>
      </w:tblGrid>
      <w:tr>
        <w:trPr>
          <w:tblHeader/>
        </w:trPr>
        <w:tc>
          <w:tcPr>
            <w:tcW w:type="dxa" w:w="234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字段</w:t>
            </w:r>
          </w:p>
        </w:tc>
        <w:tc>
          <w:tcPr>
            <w:tcW w:type="dxa" w:w="396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含义</w:t>
            </w:r>
          </w:p>
        </w:tc>
        <w:tc>
          <w:tcPr>
            <w:tcW w:type="dxa" w:w="270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可对外引用口径</w:t>
            </w:r>
          </w:p>
        </w:tc>
      </w:tr>
      <w:tr>
        <w:tc>
          <w:tcPr>
            <w:tcW w:type="dxa" w:w="234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emSavingsPlanned</w:t>
            </w:r>
          </w:p>
        </w:tc>
        <w:tc>
          <w:tcPr>
            <w:tcW w:type="dxa" w:w="39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规划节能量，措施设计阶段的目标值</w:t>
            </w:r>
          </w:p>
        </w:tc>
        <w:tc>
          <w:tcPr>
            <w:tcW w:type="dxa" w:w="27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必须标注为规划目标</w:t>
            </w:r>
          </w:p>
        </w:tc>
      </w:tr>
      <w:tr>
        <w:tc>
          <w:tcPr>
            <w:tcW w:type="dxa" w:w="234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emSavingsMeasured</w:t>
            </w:r>
          </w:p>
        </w:tc>
        <w:tc>
          <w:tcPr>
            <w:tcW w:type="dxa" w:w="396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报告期实测差值，未做基线调整</w:t>
            </w:r>
          </w:p>
        </w:tc>
        <w:tc>
          <w:tcPr>
            <w:tcW w:type="dxa" w:w="27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仅内部使用</w:t>
            </w:r>
          </w:p>
        </w:tc>
      </w:tr>
      <w:tr>
        <w:tc>
          <w:tcPr>
            <w:tcW w:type="dxa" w:w="234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emSavingsVerified</w:t>
            </w:r>
          </w:p>
        </w:tc>
        <w:tc>
          <w:tcPr>
            <w:tcW w:type="dxa" w:w="396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经常规与非常规调整后的核证节能量</w:t>
            </w:r>
          </w:p>
        </w:tc>
        <w:tc>
          <w:tcPr>
            <w:tcW w:type="dxa" w:w="27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可作为节能量正式引用</w:t>
            </w:r>
          </w:p>
        </w:tc>
      </w:tr>
    </w:tbl>
    <w:p>
      <w:pPr>
        <w:spacing w:after="200" w:before="80"/>
        <w:jc w:val="center"/>
      </w:pPr>
      <w:r>
        <w:rPr>
          <w:rFonts w:ascii="Microsoft YaHei" w:cs="Microsoft YaHei" w:eastAsia="Microsoft YaHei" w:hAnsi="Microsoft YaHei"/>
          <w:color w:val="5B6B7A"/>
          <w:sz w:val="17"/>
          <w:szCs w:val="17"/>
        </w:rPr>
        <w:t xml:space="preserve">表 4-6  节能量三态字段</w:t>
      </w:r>
    </w:p>
    <w:p>
      <w:pPr>
        <w:spacing w:after="120" w:before="60" w:line="300"/>
      </w:pPr>
      <w:r>
        <w:rPr>
          <w:rFonts w:ascii="Microsoft YaHei" w:cs="Microsoft YaHei" w:eastAsia="Microsoft YaHei" w:hAnsi="Microsoft YaHei"/>
          <w:color w:val="1F2933"/>
          <w:sz w:val="21"/>
          <w:szCs w:val="21"/>
        </w:rPr>
        <w:t xml:space="preserve">核证状态 emVerifyStatus 覆盖 planned、monitoring、computed、verified、rejected 五态。EmAdjustment 区分常规调整（气象、使用率）与非常规调整（面积、工艺变更），每笔调整记录原因与调整量。</w:t>
      </w:r>
    </w:p>
    <w:p>
      <w:pPr>
        <w:pStyle w:val="Heading2"/>
        <w:spacing w:after="120" w:before="260"/>
      </w:pPr>
      <w:r>
        <w:rPr>
          <w:rFonts w:ascii="Microsoft YaHei" w:cs="Microsoft YaHei" w:eastAsia="Microsoft YaHei" w:hAnsi="Microsoft YaHei"/>
          <w:b/>
          <w:bCs/>
          <w:color w:val="0E7C86"/>
          <w:sz w:val="25"/>
          <w:szCs w:val="25"/>
        </w:rPr>
        <w:t xml:space="preserve">4.7  域十  碳资产</w:t>
      </w:r>
    </w:p>
    <w:p>
      <w:pPr>
        <w:spacing w:after="120" w:before="60" w:line="300"/>
      </w:pPr>
      <w:r>
        <w:rPr>
          <w:rFonts w:ascii="Microsoft YaHei" w:cs="Microsoft YaHei" w:eastAsia="Microsoft YaHei" w:hAnsi="Microsoft YaHei"/>
          <w:color w:val="1F2933"/>
          <w:sz w:val="21"/>
          <w:szCs w:val="21"/>
        </w:rPr>
        <w:t xml:space="preserve">排放因子是随年份与区域变化的业务参数，属于 Layer 2，不是设备属性。碳账目由能耗台账与因子确定性推导，任一因子换版可全量重算。</w:t>
      </w:r>
    </w:p>
    <w:tbl>
      <w:tblPr>
        <w:tblW w:type="dxa" w:w="9000"/>
        <w:tblBorders>
          <w:top w:val="single" w:color="C9D6E0" w:sz="4"/>
          <w:left w:val="single" w:color="0E7C86" w:sz="24"/>
          <w:bottom w:val="single" w:color="C9D6E0" w:sz="4"/>
          <w:right w:val="single" w:color="C9D6E0" w:sz="4"/>
          <w:insideH w:val="none"/>
          <w:insideV w:val="none"/>
        </w:tblBorders>
      </w:tblPr>
      <w:tblGrid>
        <w:gridCol w:w="9000"/>
      </w:tblGrid>
      <w:tr>
        <w:trPr>
          <w:cantSplit/>
        </w:trPr>
        <w:tc>
          <w:tcPr>
            <w:tcW w:type="dxa" w:w="9000"/>
            <w:shd w:fill="EEF6F7" w:val="clear"/>
            <w:tcMar>
              <w:top w:type="dxa" w:w="140"/>
              <w:left w:type="dxa" w:w="180"/>
              <w:bottom w:type="dxa" w:w="140"/>
              <w:right w:type="dxa" w:w="180"/>
            </w:tcMar>
          </w:tcPr>
          <w:p>
            <w:pPr>
              <w:spacing w:after="60"/>
            </w:pPr>
            <w:r>
              <w:rPr>
                <w:rFonts w:ascii="Microsoft YaHei" w:cs="Microsoft YaHei" w:eastAsia="Microsoft YaHei" w:hAnsi="Microsoft YaHei"/>
                <w:b/>
                <w:bCs/>
                <w:color w:val="0E7C86"/>
                <w:sz w:val="19"/>
                <w:szCs w:val="19"/>
              </w:rPr>
              <w:t xml:space="preserve">设计取舍</w:t>
            </w:r>
          </w:p>
          <w:p>
            <w:pPr>
              <w:spacing w:after="0" w:line="290"/>
            </w:pPr>
            <w:r>
              <w:rPr>
                <w:rFonts w:ascii="Microsoft YaHei" w:cs="Microsoft YaHei" w:eastAsia="Microsoft YaHei" w:hAnsi="Microsoft YaHei"/>
                <w:color w:val="1F2933"/>
                <w:sz w:val="20"/>
                <w:szCs w:val="20"/>
              </w:rPr>
              <w:t xml:space="preserve">电网排放因子逐年更新。若碳账实时引用最新因子，历史数据会随因子换版整体漂移，与已披露的报告对不上。因此 EmCarbonAccount 在账期结算时将本期使用的因子版本以 emFactorRefs 快照锁定。</w:t>
            </w:r>
          </w:p>
        </w:tc>
      </w:tr>
    </w:tbl>
    <w:p>
      <w:pPr>
        <w:spacing w:after="180"/>
      </w:pPr>
      <w:r>
        <w:rPr>
          <w:rFonts w:ascii="Microsoft YaHei" w:cs="Microsoft YaHei" w:eastAsia="Microsoft YaHei" w:hAnsi="Microsoft YaHei"/>
          <w:color w:val="1F2933"/>
          <w:sz w:val="21"/>
          <w:szCs w:val="21"/>
        </w:rPr>
        <w:t xml:space="preserve"/>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2160"/>
        <w:gridCol w:w="6840"/>
      </w:tblGrid>
      <w:tr>
        <w:trPr>
          <w:tblHeader/>
        </w:trPr>
        <w:tc>
          <w:tcPr>
            <w:tcW w:type="dxa" w:w="216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对象</w:t>
            </w:r>
          </w:p>
        </w:tc>
        <w:tc>
          <w:tcPr>
            <w:tcW w:type="dxa" w:w="684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职责</w:t>
            </w:r>
          </w:p>
        </w:tc>
      </w:tr>
      <w:tr>
        <w:tc>
          <w:tcPr>
            <w:tcW w:type="dxa" w:w="21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EmEmissionFactor</w:t>
            </w:r>
          </w:p>
        </w:tc>
        <w:tc>
          <w:tcPr>
            <w:tcW w:type="dxa" w:w="68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排放因子：介质、Scope、区域、年份、因子值、折标煤系数、依据文件号（必填）</w:t>
            </w:r>
          </w:p>
        </w:tc>
      </w:tr>
      <w:tr>
        <w:tc>
          <w:tcPr>
            <w:tcW w:type="dxa" w:w="21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EmCarbonAccount</w:t>
            </w:r>
          </w:p>
        </w:tc>
        <w:tc>
          <w:tcPr>
            <w:tcW w:type="dxa" w:w="68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碳账目：核算边界、账期、Scope 1/2/3 排放量、抵消量、净排放、因子版本快照</w:t>
            </w:r>
          </w:p>
        </w:tc>
      </w:tr>
      <w:tr>
        <w:tc>
          <w:tcPr>
            <w:tcW w:type="dxa" w:w="21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EmCarbonTarget</w:t>
            </w:r>
          </w:p>
        </w:tc>
        <w:tc>
          <w:tcPr>
            <w:tcW w:type="dxa" w:w="68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碳目标：基准年、目标年、总量型或强度型目标值</w:t>
            </w:r>
          </w:p>
        </w:tc>
      </w:tr>
      <w:tr>
        <w:tc>
          <w:tcPr>
            <w:tcW w:type="dxa" w:w="21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EmGreenCert</w:t>
            </w:r>
          </w:p>
        </w:tc>
        <w:tc>
          <w:tcPr>
            <w:tcW w:type="dxa" w:w="68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绿电、绿证与 CCER，仅在注销核销后方可用于抵消</w:t>
            </w:r>
          </w:p>
        </w:tc>
      </w:tr>
    </w:tbl>
    <w:p>
      <w:pPr>
        <w:spacing w:after="200" w:before="80"/>
        <w:jc w:val="center"/>
      </w:pPr>
      <w:r>
        <w:rPr>
          <w:rFonts w:ascii="Microsoft YaHei" w:cs="Microsoft YaHei" w:eastAsia="Microsoft YaHei" w:hAnsi="Microsoft YaHei"/>
          <w:color w:val="5B6B7A"/>
          <w:sz w:val="17"/>
          <w:szCs w:val="17"/>
        </w:rPr>
        <w:t xml:space="preserve">表 4-7  碳资产域对象</w:t>
      </w:r>
    </w:p>
    <w:p>
      <w:pPr>
        <w:pStyle w:val="Heading2"/>
        <w:spacing w:after="120" w:before="260"/>
      </w:pPr>
      <w:r>
        <w:rPr>
          <w:rFonts w:ascii="Microsoft YaHei" w:cs="Microsoft YaHei" w:eastAsia="Microsoft YaHei" w:hAnsi="Microsoft YaHei"/>
          <w:b/>
          <w:bCs/>
          <w:color w:val="0E7C86"/>
          <w:sz w:val="25"/>
          <w:szCs w:val="25"/>
        </w:rPr>
        <w:t xml:space="preserve">4.8  域十一  诊断与闭环</w:t>
      </w:r>
    </w:p>
    <w:p>
      <w:pPr>
        <w:spacing w:after="120" w:before="60" w:line="300"/>
      </w:pPr>
      <w:r>
        <w:rPr>
          <w:rFonts w:ascii="Microsoft YaHei" w:cs="Microsoft YaHei" w:eastAsia="Microsoft YaHei" w:hAnsi="Microsoft YaHei"/>
          <w:color w:val="1F2933"/>
          <w:sz w:val="21"/>
          <w:szCs w:val="21"/>
        </w:rPr>
        <w:t xml:space="preserve">诊断规则输出异常事件，事件经确认后升级为工单，所有节能建议最终落到 EmSavingsProject，形成诊断到措施到核证的闭环。</w:t>
      </w:r>
    </w:p>
    <w:tbl>
      <w:tblPr>
        <w:tblW w:type="dxa" w:w="9000"/>
        <w:tblBorders>
          <w:top w:val="single" w:color="C9D6E0" w:sz="4"/>
          <w:left w:val="single" w:color="0E7C86" w:sz="24"/>
          <w:bottom w:val="single" w:color="C9D6E0" w:sz="4"/>
          <w:right w:val="single" w:color="C9D6E0" w:sz="4"/>
          <w:insideH w:val="none"/>
          <w:insideV w:val="none"/>
        </w:tblBorders>
      </w:tblPr>
      <w:tblGrid>
        <w:gridCol w:w="9000"/>
      </w:tblGrid>
      <w:tr>
        <w:trPr>
          <w:cantSplit/>
        </w:trPr>
        <w:tc>
          <w:tcPr>
            <w:tcW w:type="dxa" w:w="9000"/>
            <w:shd w:fill="EEF6F7" w:val="clear"/>
            <w:tcMar>
              <w:top w:type="dxa" w:w="140"/>
              <w:left w:type="dxa" w:w="180"/>
              <w:bottom w:type="dxa" w:w="140"/>
              <w:right w:type="dxa" w:w="180"/>
            </w:tcMar>
          </w:tcPr>
          <w:p>
            <w:pPr>
              <w:spacing w:after="60"/>
            </w:pPr>
            <w:r>
              <w:rPr>
                <w:rFonts w:ascii="Microsoft YaHei" w:cs="Microsoft YaHei" w:eastAsia="Microsoft YaHei" w:hAnsi="Microsoft YaHei"/>
                <w:b/>
                <w:bCs/>
                <w:color w:val="0E7C86"/>
                <w:sz w:val="19"/>
                <w:szCs w:val="19"/>
              </w:rPr>
              <w:t xml:space="preserve">架构原则</w:t>
            </w:r>
          </w:p>
          <w:p>
            <w:pPr>
              <w:spacing w:after="0" w:line="290"/>
            </w:pPr>
            <w:r>
              <w:rPr>
                <w:rFonts w:ascii="Microsoft YaHei" w:cs="Microsoft YaHei" w:eastAsia="Microsoft YaHei" w:hAnsi="Microsoft YaHei"/>
                <w:color w:val="1F2933"/>
                <w:sz w:val="20"/>
                <w:szCs w:val="20"/>
              </w:rPr>
              <w:t xml:space="preserve">沿用 AI 建议、确定性执行的一贯原则：诊断模型只产生 EmAnomaly，不直接写入控制点。需要动作时走工单，或交由 CoolMatrix / heatMatrix 的确定性策略层执行。实时安全回路永不依赖账务层。</w:t>
            </w:r>
          </w:p>
        </w:tc>
      </w:tr>
    </w:tbl>
    <w:p>
      <w:pPr>
        <w:spacing w:after="180"/>
      </w:pPr>
      <w:r>
        <w:rPr>
          <w:rFonts w:ascii="Microsoft YaHei" w:cs="Microsoft YaHei" w:eastAsia="Microsoft YaHei" w:hAnsi="Microsoft YaHei"/>
          <w:color w:val="1F2933"/>
          <w:sz w:val="21"/>
          <w:szCs w:val="21"/>
        </w:rPr>
        <w:t xml:space="preserve"/>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2160"/>
        <w:gridCol w:w="6840"/>
      </w:tblGrid>
      <w:tr>
        <w:trPr>
          <w:tblHeader/>
        </w:trPr>
        <w:tc>
          <w:tcPr>
            <w:tcW w:type="dxa" w:w="216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类别</w:t>
            </w:r>
          </w:p>
        </w:tc>
        <w:tc>
          <w:tcPr>
            <w:tcW w:type="dxa" w:w="684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判据示例</w:t>
            </w:r>
          </w:p>
        </w:tc>
      </w:tr>
      <w:tr>
        <w:tc>
          <w:tcPr>
            <w:tcW w:type="dxa" w:w="21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dataQuality</w:t>
            </w:r>
          </w:p>
        </w:tc>
        <w:tc>
          <w:tcPr>
            <w:tcW w:type="dxa" w:w="68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采集断点、数值冻结、负增量、超量程</w:t>
            </w:r>
          </w:p>
        </w:tc>
      </w:tr>
      <w:tr>
        <w:tc>
          <w:tcPr>
            <w:tcW w:type="dxa" w:w="21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balance</w:t>
            </w:r>
          </w:p>
        </w:tc>
        <w:tc>
          <w:tcPr>
            <w:tcW w:type="dxa" w:w="68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缺口率超限、子表合计大于总表</w:t>
            </w:r>
          </w:p>
        </w:tc>
      </w:tr>
      <w:tr>
        <w:tc>
          <w:tcPr>
            <w:tcW w:type="dxa" w:w="21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overConsume</w:t>
            </w:r>
          </w:p>
        </w:tc>
        <w:tc>
          <w:tcPr>
            <w:tcW w:type="dxa" w:w="68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同比或环比突变、夜间基线偏高</w:t>
            </w:r>
          </w:p>
        </w:tc>
      </w:tr>
      <w:tr>
        <w:tc>
          <w:tcPr>
            <w:tcW w:type="dxa" w:w="21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efficiency</w:t>
            </w:r>
          </w:p>
        </w:tc>
        <w:tc>
          <w:tcPr>
            <w:tcW w:type="dxa" w:w="68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EUI 或 PUE 劣化</w:t>
            </w:r>
          </w:p>
        </w:tc>
      </w:tr>
      <w:tr>
        <w:tc>
          <w:tcPr>
            <w:tcW w:type="dxa" w:w="21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scheduleWaste</w:t>
            </w:r>
          </w:p>
        </w:tc>
        <w:tc>
          <w:tcPr>
            <w:tcW w:type="dxa" w:w="68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非营业时段设备运行</w:t>
            </w:r>
          </w:p>
        </w:tc>
      </w:tr>
      <w:tr>
        <w:tc>
          <w:tcPr>
            <w:tcW w:type="dxa" w:w="21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demandRisk</w:t>
            </w:r>
          </w:p>
        </w:tc>
        <w:tc>
          <w:tcPr>
            <w:tcW w:type="dxa" w:w="68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逼近申报需量</w:t>
            </w:r>
          </w:p>
        </w:tc>
      </w:tr>
      <w:tr>
        <w:tc>
          <w:tcPr>
            <w:tcW w:type="dxa" w:w="21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quotaRisk</w:t>
            </w:r>
          </w:p>
        </w:tc>
        <w:tc>
          <w:tcPr>
            <w:tcW w:type="dxa" w:w="684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定额消耗进度超前</w:t>
            </w:r>
          </w:p>
        </w:tc>
      </w:tr>
      <w:tr>
        <w:tc>
          <w:tcPr>
            <w:tcW w:type="dxa" w:w="21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carbonRisk</w:t>
            </w:r>
          </w:p>
        </w:tc>
        <w:tc>
          <w:tcPr>
            <w:tcW w:type="dxa" w:w="684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碳目标进度偏离</w:t>
            </w:r>
          </w:p>
        </w:tc>
      </w:tr>
    </w:tbl>
    <w:p>
      <w:pPr>
        <w:spacing w:after="200" w:before="80"/>
        <w:jc w:val="center"/>
      </w:pPr>
      <w:r>
        <w:rPr>
          <w:rFonts w:ascii="Microsoft YaHei" w:cs="Microsoft YaHei" w:eastAsia="Microsoft YaHei" w:hAnsi="Microsoft YaHei"/>
          <w:color w:val="5B6B7A"/>
          <w:sz w:val="17"/>
          <w:szCs w:val="17"/>
        </w:rPr>
        <w:t xml:space="preserve">表 4-8  EmDiagCategory 枚举</w:t>
      </w:r>
    </w:p>
    <w:p>
      <w:pPr>
        <w:spacing w:after="120" w:before="60" w:line="300"/>
      </w:pPr>
      <w:r>
        <w:rPr>
          <w:rFonts w:ascii="Microsoft YaHei" w:cs="Microsoft YaHei" w:eastAsia="Microsoft YaHei" w:hAnsi="Microsoft YaHei"/>
          <w:color w:val="1F2933"/>
          <w:sz w:val="21"/>
          <w:szCs w:val="21"/>
        </w:rPr>
        <w:t xml:space="preserve">EmAnomaly 的 emImpactVal 字段用于估算异常造成的影响用量，其数据来源恒为 estimated，仅用于排序与展示，永不进入台账参与结算。</w:t>
      </w:r>
    </w:p>
    <w:p>
      <w:pPr>
        <w:pStyle w:val="Heading2"/>
        <w:spacing w:after="120" w:before="260"/>
      </w:pPr>
      <w:r>
        <w:rPr>
          <w:rFonts w:ascii="Microsoft YaHei" w:cs="Microsoft YaHei" w:eastAsia="Microsoft YaHei" w:hAnsi="Microsoft YaHei"/>
          <w:b/>
          <w:bCs/>
          <w:color w:val="0E7C86"/>
          <w:sz w:val="25"/>
          <w:szCs w:val="25"/>
        </w:rPr>
        <w:t xml:space="preserve">4.9  端到端数据流</w:t>
      </w:r>
    </w:p>
    <w:tbl>
      <w:tblPr>
        <w:tblW w:type="dxa" w:w="9000"/>
        <w:tblBorders>
          <w:top w:val="single" w:color="D5E0E8" w:sz="4"/>
          <w:left w:val="single" w:color="D5E0E8" w:sz="4"/>
          <w:bottom w:val="single" w:color="D5E0E8" w:sz="4"/>
          <w:right w:val="single" w:color="D5E0E8" w:sz="4"/>
          <w:insideH w:val="none"/>
          <w:insideV w:val="none"/>
        </w:tblBorders>
      </w:tblPr>
      <w:tblGrid>
        <w:gridCol w:w="9000"/>
      </w:tblGrid>
      <w:tr>
        <w:trPr>
          <w:cantSplit/>
        </w:trPr>
        <w:tc>
          <w:tcPr>
            <w:tcW w:type="dxa" w:w="9000"/>
            <w:shd w:fill="F1F5F8" w:val="clear"/>
            <w:tcMar>
              <w:top w:type="dxa" w:w="140"/>
              <w:left w:type="dxa" w:w="180"/>
              <w:bottom w:type="dxa" w:w="140"/>
              <w:right w:type="dxa" w:w="180"/>
            </w:tcMar>
          </w:tcPr>
          <w:p>
            <w:pPr>
              <w:spacing w:after="0" w:before="0" w:line="250"/>
            </w:pPr>
            <w:r>
              <w:rPr>
                <w:rFonts w:ascii="Consolas" w:cs="Consolas" w:eastAsia="Consolas" w:hAnsi="Consolas"/>
                <w:color w:val="20323F"/>
                <w:sz w:val="17"/>
                <w:szCs w:val="17"/>
              </w:rPr>
              <w:t xml:space="preserve">物理表读数</w:t>
            </w:r>
          </w:p>
          <w:p>
            <w:pPr>
              <w:spacing w:after="0" w:before="0" w:line="250"/>
            </w:pPr>
            <w:r>
              <w:rPr>
                <w:rFonts w:ascii="Consolas" w:cs="Consolas" w:eastAsia="Consolas" w:hAnsi="Consolas"/>
                <w:color w:val="20323F"/>
                <w:sz w:val="17"/>
                <w:szCs w:val="17"/>
              </w:rPr>
              <w:t xml:space="preserve">     |</w:t>
            </w:r>
          </w:p>
          <w:p>
            <w:pPr>
              <w:spacing w:after="0" w:before="0" w:line="250"/>
            </w:pPr>
            <w:r>
              <w:rPr>
                <w:rFonts w:ascii="Consolas" w:cs="Consolas" w:eastAsia="Consolas" w:hAnsi="Consolas"/>
                <w:color w:val="20323F"/>
                <w:sz w:val="17"/>
                <w:szCs w:val="17"/>
              </w:rPr>
              <w:t xml:space="preserve">     v</w:t>
            </w:r>
          </w:p>
          <w:p>
            <w:pPr>
              <w:spacing w:after="0" w:before="0" w:line="250"/>
            </w:pPr>
            <w:r>
              <w:rPr>
                <w:rFonts w:ascii="Consolas" w:cs="Consolas" w:eastAsia="Consolas" w:hAnsi="Consolas"/>
                <w:color w:val="20323F"/>
                <w:sz w:val="17"/>
                <w:szCs w:val="17"/>
              </w:rPr>
              <w:t xml:space="preserve">  L1 raw (total)  --差分/溢出补偿/换表补偿--&gt;  L2 delta</w:t>
            </w:r>
          </w:p>
          <w:p>
            <w:pPr>
              <w:spacing w:after="0" w:before="0" w:line="250"/>
            </w:pPr>
            <w:r>
              <w:rPr>
                <w:rFonts w:ascii="Consolas" w:cs="Consolas" w:eastAsia="Consolas" w:hAnsi="Consolas"/>
                <w:color w:val="20323F"/>
                <w:sz w:val="17"/>
                <w:szCs w:val="17"/>
              </w:rPr>
              <w:t xml:space="preserve">                                                   |</w:t>
            </w:r>
          </w:p>
          <w:p>
            <w:pPr>
              <w:spacing w:after="0" w:before="0" w:line="250"/>
            </w:pPr>
            <w:r>
              <w:rPr>
                <w:rFonts w:ascii="Consolas" w:cs="Consolas" w:eastAsia="Consolas" w:hAnsi="Consolas"/>
                <w:color w:val="20323F"/>
                <w:sz w:val="17"/>
                <w:szCs w:val="17"/>
              </w:rPr>
              <w:t xml:space="preserve">                          EmAllocRule 分摊 --------+</w:t>
            </w:r>
          </w:p>
          <w:p>
            <w:pPr>
              <w:spacing w:after="0" w:before="0" w:line="250"/>
            </w:pPr>
            <w:r>
              <w:rPr>
                <w:rFonts w:ascii="Consolas" w:cs="Consolas" w:eastAsia="Consolas" w:hAnsi="Consolas"/>
                <w:color w:val="20323F"/>
                <w:sz w:val="17"/>
                <w:szCs w:val="17"/>
              </w:rPr>
              <w:t xml:space="preserve">                                                   v</w:t>
            </w:r>
          </w:p>
          <w:p>
            <w:pPr>
              <w:spacing w:after="0" w:before="0" w:line="250"/>
            </w:pPr>
            <w:r>
              <w:rPr>
                <w:rFonts w:ascii="Consolas" w:cs="Consolas" w:eastAsia="Consolas" w:hAnsi="Consolas"/>
                <w:color w:val="20323F"/>
                <w:sz w:val="17"/>
                <w:szCs w:val="17"/>
              </w:rPr>
              <w:t xml:space="preserve">                                          EmLedgerEntry  --&gt; 关账 EmClosePeriod</w:t>
            </w:r>
          </w:p>
          <w:p>
            <w:pPr>
              <w:spacing w:after="0" w:before="0" w:line="250"/>
            </w:pPr>
            <w:r>
              <w:rPr>
                <w:rFonts w:ascii="Consolas" w:cs="Consolas" w:eastAsia="Consolas" w:hAnsi="Consolas"/>
                <w:color w:val="20323F"/>
                <w:sz w:val="17"/>
                <w:szCs w:val="17"/>
              </w:rPr>
              <w:t xml:space="preserve">                                                   |</w:t>
            </w:r>
          </w:p>
          <w:p>
            <w:pPr>
              <w:spacing w:after="0" w:before="0" w:line="250"/>
            </w:pPr>
            <w:r>
              <w:rPr>
                <w:rFonts w:ascii="Consolas" w:cs="Consolas" w:eastAsia="Consolas" w:hAnsi="Consolas"/>
                <w:color w:val="20323F"/>
                <w:sz w:val="17"/>
                <w:szCs w:val="17"/>
              </w:rPr>
              <w:t xml:space="preserve">         +-----------------------+-----------------+------------------+</w:t>
            </w:r>
          </w:p>
          <w:p>
            <w:pPr>
              <w:spacing w:after="0" w:before="0" w:line="250"/>
            </w:pPr>
            <w:r>
              <w:rPr>
                <w:rFonts w:ascii="Consolas" w:cs="Consolas" w:eastAsia="Consolas" w:hAnsi="Consolas"/>
                <w:color w:val="20323F"/>
                <w:sz w:val="17"/>
                <w:szCs w:val="17"/>
              </w:rPr>
              <w:t xml:space="preserve">         v                       v                 v                  v</w:t>
            </w:r>
          </w:p>
          <w:p>
            <w:pPr>
              <w:spacing w:after="0" w:before="0" w:line="250"/>
            </w:pPr>
            <w:r>
              <w:rPr>
                <w:rFonts w:ascii="Consolas" w:cs="Consolas" w:eastAsia="Consolas" w:hAnsi="Consolas"/>
                <w:color w:val="20323F"/>
                <w:sz w:val="17"/>
                <w:szCs w:val="17"/>
              </w:rPr>
              <w:t xml:space="preserve">     EmBill                EmKpiPoint       EmCarbonAccount     EmDiagnostic</w:t>
            </w:r>
          </w:p>
          <w:p>
            <w:pPr>
              <w:spacing w:after="0" w:before="0" w:line="250"/>
            </w:pPr>
            <w:r>
              <w:rPr>
                <w:rFonts w:ascii="Consolas" w:cs="Consolas" w:eastAsia="Consolas" w:hAnsi="Consolas"/>
                <w:color w:val="20323F"/>
                <w:sz w:val="17"/>
                <w:szCs w:val="17"/>
              </w:rPr>
              <w:t xml:space="preserve">  (x EmTariff)      (/ 面积/人数/度日)     (x EmEmissionFactor)        |</w:t>
            </w:r>
          </w:p>
          <w:p>
            <w:pPr>
              <w:spacing w:after="0" w:before="0" w:line="250"/>
            </w:pPr>
            <w:r>
              <w:rPr>
                <w:rFonts w:ascii="Consolas" w:cs="Consolas" w:eastAsia="Consolas" w:hAnsi="Consolas"/>
                <w:color w:val="20323F"/>
                <w:sz w:val="17"/>
                <w:szCs w:val="17"/>
              </w:rPr>
              <w:t xml:space="preserve">                                                                      v</w:t>
            </w:r>
          </w:p>
          <w:p>
            <w:pPr>
              <w:spacing w:after="0" w:before="0" w:line="250"/>
            </w:pPr>
            <w:r>
              <w:rPr>
                <w:rFonts w:ascii="Consolas" w:cs="Consolas" w:eastAsia="Consolas" w:hAnsi="Consolas"/>
                <w:color w:val="20323F"/>
                <w:sz w:val="17"/>
                <w:szCs w:val="17"/>
              </w:rPr>
              <w:t xml:space="preserve">                            EmBaseline  --&gt;  EmSavingsProject  &lt;--  EmAnomaly</w:t>
            </w:r>
          </w:p>
        </w:tc>
      </w:tr>
    </w:tbl>
    <w:p>
      <w:pPr>
        <w:spacing w:after="200" w:before="80"/>
        <w:jc w:val="center"/>
      </w:pPr>
      <w:r>
        <w:rPr>
          <w:rFonts w:ascii="Microsoft YaHei" w:cs="Microsoft YaHei" w:eastAsia="Microsoft YaHei" w:hAnsi="Microsoft YaHei"/>
          <w:color w:val="5B6B7A"/>
          <w:sz w:val="17"/>
          <w:szCs w:val="17"/>
        </w:rPr>
        <w:t xml:space="preserve">图 4-1  端到端数据流</w:t>
      </w:r>
    </w:p>
    <w:p>
      <w:pPr>
        <w:pStyle w:val="Heading1"/>
        <w:pageBreakBefore/>
        <w:pBdr>
          <w:bottom w:val="single" w:color="1597A5" w:sz="10" w:space="6"/>
        </w:pBdr>
        <w:spacing w:after="160" w:before="320"/>
      </w:pPr>
      <w:r>
        <w:rPr>
          <w:rFonts w:ascii="Microsoft YaHei" w:cs="Microsoft YaHei" w:eastAsia="Microsoft YaHei" w:hAnsi="Microsoft YaHei"/>
          <w:b/>
          <w:bCs/>
          <w:color w:val="0E2A47"/>
          <w:sz w:val="30"/>
          <w:szCs w:val="30"/>
        </w:rPr>
        <w:t xml:space="preserve">5  数据完整性与审计约束</w:t>
      </w:r>
    </w:p>
    <w:p>
      <w:pPr>
        <w:pStyle w:val="Heading2"/>
        <w:spacing w:after="120" w:before="260"/>
      </w:pPr>
      <w:r>
        <w:rPr>
          <w:rFonts w:ascii="Microsoft YaHei" w:cs="Microsoft YaHei" w:eastAsia="Microsoft YaHei" w:hAnsi="Microsoft YaHei"/>
          <w:b/>
          <w:bCs/>
          <w:color w:val="0E7C86"/>
          <w:sz w:val="25"/>
          <w:szCs w:val="25"/>
        </w:rPr>
        <w:t xml:space="preserve">5.1  数据来源分级</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440"/>
        <w:gridCol w:w="3600"/>
        <w:gridCol w:w="1980"/>
        <w:gridCol w:w="1980"/>
      </w:tblGrid>
      <w:tr>
        <w:trPr>
          <w:tblHeader/>
        </w:trPr>
        <w:tc>
          <w:tcPr>
            <w:tcW w:type="dxa" w:w="144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等级</w:t>
            </w:r>
          </w:p>
        </w:tc>
        <w:tc>
          <w:tcPr>
            <w:tcW w:type="dxa" w:w="360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含义</w:t>
            </w:r>
          </w:p>
        </w:tc>
        <w:tc>
          <w:tcPr>
            <w:tcW w:type="dxa" w:w="19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可用于结算</w:t>
            </w:r>
          </w:p>
        </w:tc>
        <w:tc>
          <w:tcPr>
            <w:tcW w:type="dxa" w:w="19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可用于对外披露</w:t>
            </w:r>
          </w:p>
        </w:tc>
      </w:tr>
      <w:tr>
        <w:tc>
          <w:tcPr>
            <w:tcW w:type="dxa" w:w="144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measured</w:t>
            </w:r>
          </w:p>
        </w:tc>
        <w:tc>
          <w:tcPr>
            <w:tcW w:type="dxa" w:w="36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实测，物理表计直采</w:t>
            </w:r>
          </w:p>
        </w:tc>
        <w:tc>
          <w:tcPr>
            <w:tcW w:type="dxa" w:w="19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是</w:t>
            </w:r>
          </w:p>
        </w:tc>
        <w:tc>
          <w:tcPr>
            <w:tcW w:type="dxa" w:w="19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是</w:t>
            </w:r>
          </w:p>
        </w:tc>
      </w:tr>
      <w:tr>
        <w:tc>
          <w:tcPr>
            <w:tcW w:type="dxa" w:w="144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derived</w:t>
            </w:r>
          </w:p>
        </w:tc>
        <w:tc>
          <w:tcPr>
            <w:tcW w:type="dxa" w:w="36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推导，由其他实测量运算得出</w:t>
            </w:r>
          </w:p>
        </w:tc>
        <w:tc>
          <w:tcPr>
            <w:tcW w:type="dxa" w:w="19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是</w:t>
            </w:r>
          </w:p>
        </w:tc>
        <w:tc>
          <w:tcPr>
            <w:tcW w:type="dxa" w:w="19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是</w:t>
            </w:r>
          </w:p>
        </w:tc>
      </w:tr>
      <w:tr>
        <w:tc>
          <w:tcPr>
            <w:tcW w:type="dxa" w:w="144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allocated</w:t>
            </w:r>
          </w:p>
        </w:tc>
        <w:tc>
          <w:tcPr>
            <w:tcW w:type="dxa" w:w="36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分摊，按规则从上级量分配</w:t>
            </w:r>
          </w:p>
        </w:tc>
        <w:tc>
          <w:tcPr>
            <w:tcW w:type="dxa" w:w="19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是（需规则备案）</w:t>
            </w:r>
          </w:p>
        </w:tc>
        <w:tc>
          <w:tcPr>
            <w:tcW w:type="dxa" w:w="19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是（需注明分摊）</w:t>
            </w:r>
          </w:p>
        </w:tc>
      </w:tr>
      <w:tr>
        <w:tc>
          <w:tcPr>
            <w:tcW w:type="dxa" w:w="144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estimated</w:t>
            </w:r>
          </w:p>
        </w:tc>
        <w:tc>
          <w:tcPr>
            <w:tcW w:type="dxa" w:w="36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估算，模型或历史均值填补</w:t>
            </w:r>
          </w:p>
        </w:tc>
        <w:tc>
          <w:tcPr>
            <w:tcW w:type="dxa" w:w="19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否</w:t>
            </w:r>
          </w:p>
        </w:tc>
        <w:tc>
          <w:tcPr>
            <w:tcW w:type="dxa" w:w="19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否</w:t>
            </w:r>
          </w:p>
        </w:tc>
      </w:tr>
      <w:tr>
        <w:tc>
          <w:tcPr>
            <w:tcW w:type="dxa" w:w="144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manual</w:t>
            </w:r>
          </w:p>
        </w:tc>
        <w:tc>
          <w:tcPr>
            <w:tcW w:type="dxa" w:w="36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人工录入，抄表或账单</w:t>
            </w:r>
          </w:p>
        </w:tc>
        <w:tc>
          <w:tcPr>
            <w:tcW w:type="dxa" w:w="19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是（需双人复核）</w:t>
            </w:r>
          </w:p>
        </w:tc>
        <w:tc>
          <w:tcPr>
            <w:tcW w:type="dxa" w:w="19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是</w:t>
            </w:r>
          </w:p>
        </w:tc>
      </w:tr>
    </w:tbl>
    <w:p>
      <w:pPr>
        <w:spacing w:after="200" w:before="80"/>
        <w:jc w:val="center"/>
      </w:pPr>
      <w:r>
        <w:rPr>
          <w:rFonts w:ascii="Microsoft YaHei" w:cs="Microsoft YaHei" w:eastAsia="Microsoft YaHei" w:hAnsi="Microsoft YaHei"/>
          <w:color w:val="5B6B7A"/>
          <w:sz w:val="17"/>
          <w:szCs w:val="17"/>
        </w:rPr>
        <w:t xml:space="preserve">表 5-1  数据来源分级与使用限制</w:t>
      </w:r>
    </w:p>
    <w:p>
      <w:pPr>
        <w:pStyle w:val="Heading2"/>
        <w:spacing w:after="120" w:before="260"/>
      </w:pPr>
      <w:r>
        <w:rPr>
          <w:rFonts w:ascii="Microsoft YaHei" w:cs="Microsoft YaHei" w:eastAsia="Microsoft YaHei" w:hAnsi="Microsoft YaHei"/>
          <w:b/>
          <w:bCs/>
          <w:color w:val="0E7C86"/>
          <w:sz w:val="25"/>
          <w:szCs w:val="25"/>
        </w:rPr>
        <w:t xml:space="preserve">5.2  关账事务与缺口率闸门</w:t>
      </w:r>
    </w:p>
    <w:p>
      <w:pPr>
        <w:spacing w:after="120" w:before="60" w:line="300"/>
      </w:pPr>
      <w:r>
        <w:rPr>
          <w:rFonts w:ascii="Microsoft YaHei" w:cs="Microsoft YaHei" w:eastAsia="Microsoft YaHei" w:hAnsi="Microsoft YaHei"/>
          <w:color w:val="1F2933"/>
          <w:sz w:val="21"/>
          <w:szCs w:val="21"/>
        </w:rPr>
        <w:t xml:space="preserve">关账是一次原子事务，执行顺序如下：</w:t>
      </w:r>
    </w:p>
    <w:p>
      <w:pPr>
        <w:pStyle w:val="ListParagraph"/>
        <w:numPr>
          <w:ilvl w:val="0"/>
          <w:numId w:val="2"/>
        </w:numPr>
        <w:spacing w:after="60" w:before="40" w:line="290"/>
      </w:pPr>
      <w:r>
        <w:rPr>
          <w:rFonts w:ascii="Microsoft YaHei" w:cs="Microsoft YaHei" w:eastAsia="Microsoft YaHei" w:hAnsi="Microsoft YaHei"/>
          <w:color w:val="1F2933"/>
          <w:sz w:val="21"/>
          <w:szCs w:val="21"/>
        </w:rPr>
        <w:t xml:space="preserve">冻结账期内所有 L2 delta 点，禁止后续补采覆盖。</w:t>
      </w:r>
    </w:p>
    <w:p>
      <w:pPr>
        <w:pStyle w:val="ListParagraph"/>
        <w:numPr>
          <w:ilvl w:val="0"/>
          <w:numId w:val="2"/>
        </w:numPr>
        <w:spacing w:after="60" w:before="40" w:line="290"/>
      </w:pPr>
      <w:r>
        <w:rPr>
          <w:rFonts w:ascii="Microsoft YaHei" w:cs="Microsoft YaHei" w:eastAsia="Microsoft YaHei" w:hAnsi="Microsoft YaHei"/>
          <w:color w:val="1F2933"/>
          <w:sz w:val="21"/>
          <w:szCs w:val="21"/>
        </w:rPr>
        <w:t xml:space="preserve">执行全部生效的分摊规则，生成 allocated 条目。</w:t>
      </w:r>
    </w:p>
    <w:p>
      <w:pPr>
        <w:pStyle w:val="ListParagraph"/>
        <w:numPr>
          <w:ilvl w:val="0"/>
          <w:numId w:val="2"/>
        </w:numPr>
        <w:spacing w:after="60" w:before="40" w:line="290"/>
      </w:pPr>
      <w:r>
        <w:rPr>
          <w:rFonts w:ascii="Microsoft YaHei" w:cs="Microsoft YaHei" w:eastAsia="Microsoft YaHei" w:hAnsi="Microsoft YaHei"/>
          <w:color w:val="1F2933"/>
          <w:sz w:val="21"/>
          <w:szCs w:val="21"/>
        </w:rPr>
        <w:t xml:space="preserve">计算缺口量与缺口率，写入 EmClosePeriod.emGapRatio。</w:t>
      </w:r>
    </w:p>
    <w:p>
      <w:pPr>
        <w:pStyle w:val="ListParagraph"/>
        <w:numPr>
          <w:ilvl w:val="0"/>
          <w:numId w:val="2"/>
        </w:numPr>
        <w:spacing w:after="60" w:before="40" w:line="290"/>
      </w:pPr>
      <w:r>
        <w:rPr>
          <w:rFonts w:ascii="Microsoft YaHei" w:cs="Microsoft YaHei" w:eastAsia="Microsoft YaHei" w:hAnsi="Microsoft YaHei"/>
          <w:color w:val="1F2933"/>
          <w:sz w:val="21"/>
          <w:szCs w:val="21"/>
        </w:rPr>
        <w:t xml:space="preserve">缺口率超过阈值（默认 5%）时阻断关账，返回未平衡的表计清单。</w:t>
      </w:r>
    </w:p>
    <w:p>
      <w:pPr>
        <w:pStyle w:val="ListParagraph"/>
        <w:numPr>
          <w:ilvl w:val="0"/>
          <w:numId w:val="2"/>
        </w:numPr>
        <w:spacing w:after="60" w:before="40" w:line="290"/>
      </w:pPr>
      <w:r>
        <w:rPr>
          <w:rFonts w:ascii="Microsoft YaHei" w:cs="Microsoft YaHei" w:eastAsia="Microsoft YaHei" w:hAnsi="Microsoft YaHei"/>
          <w:color w:val="1F2933"/>
          <w:sz w:val="21"/>
          <w:szCs w:val="21"/>
        </w:rPr>
        <w:t xml:space="preserve">校核通过后为本期全部条目打 emClosed 标记，并写入关账批次记录。</w:t>
      </w:r>
    </w:p>
    <w:tbl>
      <w:tblPr>
        <w:tblW w:type="dxa" w:w="9000"/>
        <w:tblBorders>
          <w:top w:val="single" w:color="C9D6E0" w:sz="4"/>
          <w:left w:val="single" w:color="C49A2E" w:sz="24"/>
          <w:bottom w:val="single" w:color="C9D6E0" w:sz="4"/>
          <w:right w:val="single" w:color="C9D6E0" w:sz="4"/>
          <w:insideH w:val="none"/>
          <w:insideV w:val="none"/>
        </w:tblBorders>
      </w:tblPr>
      <w:tblGrid>
        <w:gridCol w:w="9000"/>
      </w:tblGrid>
      <w:tr>
        <w:trPr>
          <w:cantSplit/>
        </w:trPr>
        <w:tc>
          <w:tcPr>
            <w:tcW w:type="dxa" w:w="9000"/>
            <w:shd w:fill="FCF8EE" w:val="clear"/>
            <w:tcMar>
              <w:top w:type="dxa" w:w="140"/>
              <w:left w:type="dxa" w:w="180"/>
              <w:bottom w:type="dxa" w:w="140"/>
              <w:right w:type="dxa" w:w="180"/>
            </w:tcMar>
          </w:tcPr>
          <w:p>
            <w:pPr>
              <w:spacing w:after="60"/>
            </w:pPr>
            <w:r>
              <w:rPr>
                <w:rFonts w:ascii="Microsoft YaHei" w:cs="Microsoft YaHei" w:eastAsia="Microsoft YaHei" w:hAnsi="Microsoft YaHei"/>
                <w:b/>
                <w:bCs/>
                <w:color w:val="C49A2E"/>
                <w:sz w:val="19"/>
                <w:szCs w:val="19"/>
              </w:rPr>
              <w:t xml:space="preserve">设计取舍</w:t>
            </w:r>
          </w:p>
          <w:p>
            <w:pPr>
              <w:spacing w:after="0" w:line="290"/>
            </w:pPr>
            <w:r>
              <w:rPr>
                <w:rFonts w:ascii="Microsoft YaHei" w:cs="Microsoft YaHei" w:eastAsia="Microsoft YaHei" w:hAnsi="Microsoft YaHei"/>
                <w:color w:val="1F2933"/>
                <w:sz w:val="20"/>
                <w:szCs w:val="20"/>
              </w:rPr>
              <w:t xml:space="preserve">缺口率阻断是硬门槛。其目的是把计量方案的质量问题挡在账目之外，而不是让它在报表里被平摊掉。宁可延迟关账，也不允许一份内部不平衡的账目进入结算与披露链路。</w:t>
            </w:r>
          </w:p>
        </w:tc>
      </w:tr>
    </w:tbl>
    <w:p>
      <w:pPr>
        <w:spacing w:after="180"/>
      </w:pPr>
      <w:r>
        <w:rPr>
          <w:rFonts w:ascii="Microsoft YaHei" w:cs="Microsoft YaHei" w:eastAsia="Microsoft YaHei" w:hAnsi="Microsoft YaHei"/>
          <w:color w:val="1F2933"/>
          <w:sz w:val="21"/>
          <w:szCs w:val="21"/>
        </w:rPr>
        <w:t xml:space="preserve"/>
      </w:r>
    </w:p>
    <w:p>
      <w:pPr>
        <w:pStyle w:val="Heading2"/>
        <w:spacing w:after="120" w:before="260"/>
      </w:pPr>
      <w:r>
        <w:rPr>
          <w:rFonts w:ascii="Microsoft YaHei" w:cs="Microsoft YaHei" w:eastAsia="Microsoft YaHei" w:hAnsi="Microsoft YaHei"/>
          <w:b/>
          <w:bCs/>
          <w:color w:val="0E7C86"/>
          <w:sz w:val="25"/>
          <w:szCs w:val="25"/>
        </w:rPr>
        <w:t xml:space="preserve">5.3  红冲机制</w:t>
      </w:r>
    </w:p>
    <w:p>
      <w:pPr>
        <w:spacing w:after="120" w:before="60" w:line="300"/>
      </w:pPr>
      <w:r>
        <w:rPr>
          <w:rFonts w:ascii="Microsoft YaHei" w:cs="Microsoft YaHei" w:eastAsia="Microsoft YaHei" w:hAnsi="Microsoft YaHei"/>
          <w:color w:val="1F2933"/>
          <w:sz w:val="21"/>
          <w:szCs w:val="21"/>
        </w:rPr>
        <w:t xml:space="preserve">已关账条目不可修改。发现错误时新增一条数值相反的红冲条目，通过 emReversalOf 指向原条目，再录入正确条目。三条记录共同构成完整的修正链，任何时点的账目状态均可复现。</w:t>
      </w:r>
    </w:p>
    <w:tbl>
      <w:tblPr>
        <w:tblW w:type="dxa" w:w="9000"/>
        <w:tblBorders>
          <w:top w:val="single" w:color="D5E0E8" w:sz="4"/>
          <w:left w:val="single" w:color="D5E0E8" w:sz="4"/>
          <w:bottom w:val="single" w:color="D5E0E8" w:sz="4"/>
          <w:right w:val="single" w:color="D5E0E8" w:sz="4"/>
          <w:insideH w:val="none"/>
          <w:insideV w:val="none"/>
        </w:tblBorders>
      </w:tblPr>
      <w:tblGrid>
        <w:gridCol w:w="9000"/>
      </w:tblGrid>
      <w:tr>
        <w:trPr>
          <w:cantSplit/>
        </w:trPr>
        <w:tc>
          <w:tcPr>
            <w:tcW w:type="dxa" w:w="9000"/>
            <w:shd w:fill="F1F5F8" w:val="clear"/>
            <w:tcMar>
              <w:top w:type="dxa" w:w="140"/>
              <w:left w:type="dxa" w:w="180"/>
              <w:bottom w:type="dxa" w:w="140"/>
              <w:right w:type="dxa" w:w="180"/>
            </w:tcMar>
          </w:tcPr>
          <w:p>
            <w:pPr>
              <w:spacing w:after="0" w:before="0" w:line="250"/>
            </w:pPr>
            <w:r>
              <w:rPr>
                <w:rFonts w:ascii="Consolas" w:cs="Consolas" w:eastAsia="Consolas" w:hAnsi="Consolas"/>
                <w:color w:val="20323F"/>
                <w:sz w:val="17"/>
                <w:szCs w:val="17"/>
              </w:rPr>
              <w:t xml:space="preserve">L-2607-0151   M-C1-01   +96,400 kWh   estimated   完好率 64.1%   -&gt; 已红冲</w:t>
            </w:r>
          </w:p>
          <w:p>
            <w:pPr>
              <w:spacing w:after="0" w:before="0" w:line="250"/>
            </w:pPr>
            <w:r>
              <w:rPr>
                <w:rFonts w:ascii="Consolas" w:cs="Consolas" w:eastAsia="Consolas" w:hAnsi="Consolas"/>
                <w:color w:val="20323F"/>
                <w:sz w:val="17"/>
                <w:szCs w:val="17"/>
              </w:rPr>
              <w:t xml:space="preserve">L-2607-0152   M-C1-01   -96,400 kWh   estimated   红冲条目</w:t>
            </w:r>
          </w:p>
          <w:p>
            <w:pPr>
              <w:spacing w:after="0" w:before="0" w:line="250"/>
            </w:pPr>
            <w:r>
              <w:rPr>
                <w:rFonts w:ascii="Consolas" w:cs="Consolas" w:eastAsia="Consolas" w:hAnsi="Consolas"/>
                <w:color w:val="20323F"/>
                <w:sz w:val="17"/>
                <w:szCs w:val="17"/>
              </w:rPr>
              <w:t xml:space="preserve">L-2607-0153   M-C1-01   +92,000 kWh   measured    完好率 97.2%   补采后重录</w:t>
            </w:r>
          </w:p>
        </w:tc>
      </w:tr>
    </w:tbl>
    <w:p>
      <w:pPr>
        <w:pStyle w:val="Heading2"/>
        <w:spacing w:after="120" w:before="260"/>
      </w:pPr>
      <w:r>
        <w:rPr>
          <w:rFonts w:ascii="Microsoft YaHei" w:cs="Microsoft YaHei" w:eastAsia="Microsoft YaHei" w:hAnsi="Microsoft YaHei"/>
          <w:b/>
          <w:bCs/>
          <w:color w:val="0E7C86"/>
          <w:sz w:val="25"/>
          <w:szCs w:val="25"/>
        </w:rPr>
        <w:t xml:space="preserve">5.4  参数版本化与依据文件</w:t>
      </w:r>
    </w:p>
    <w:p>
      <w:pPr>
        <w:spacing w:after="120" w:before="60" w:line="300"/>
      </w:pPr>
      <w:r>
        <w:rPr>
          <w:rFonts w:ascii="Microsoft YaHei" w:cs="Microsoft YaHei" w:eastAsia="Microsoft YaHei" w:hAnsi="Microsoft YaHei"/>
          <w:color w:val="1F2933"/>
          <w:sz w:val="21"/>
          <w:szCs w:val="21"/>
        </w:rPr>
        <w:t xml:space="preserve">费率与排放因子两类业务参数必须填写 emSourceDoc 依据文件号，例如政府批复文号、合同编号或国家标准号。缺少依据文件的参数不允许生效。参数换版一律新增记录并设置生效期，旧版本转为只读，不得原地修改。</w:t>
      </w:r>
    </w:p>
    <w:p>
      <w:pPr>
        <w:pStyle w:val="Heading1"/>
        <w:pageBreakBefore/>
        <w:pBdr>
          <w:bottom w:val="single" w:color="1597A5" w:sz="10" w:space="6"/>
        </w:pBdr>
        <w:spacing w:after="160" w:before="320"/>
      </w:pPr>
      <w:r>
        <w:rPr>
          <w:rFonts w:ascii="Microsoft YaHei" w:cs="Microsoft YaHei" w:eastAsia="Microsoft YaHei" w:hAnsi="Microsoft YaHei"/>
          <w:b/>
          <w:bCs/>
          <w:color w:val="0E2A47"/>
          <w:sz w:val="30"/>
          <w:szCs w:val="30"/>
        </w:rPr>
        <w:t xml:space="preserve">6  待决事项</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900"/>
        <w:gridCol w:w="1980"/>
        <w:gridCol w:w="3600"/>
        <w:gridCol w:w="2520"/>
      </w:tblGrid>
      <w:tr>
        <w:trPr>
          <w:tblHeader/>
        </w:trPr>
        <w:tc>
          <w:tcPr>
            <w:tcW w:type="dxa" w:w="90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编号</w:t>
            </w:r>
          </w:p>
        </w:tc>
        <w:tc>
          <w:tcPr>
            <w:tcW w:type="dxa" w:w="19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事项</w:t>
            </w:r>
          </w:p>
        </w:tc>
        <w:tc>
          <w:tcPr>
            <w:tcW w:type="dxa" w:w="360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选项</w:t>
            </w:r>
          </w:p>
        </w:tc>
        <w:tc>
          <w:tcPr>
            <w:tcW w:type="dxa" w:w="252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影响</w:t>
            </w:r>
          </w:p>
        </w:tc>
      </w:tr>
      <w:tr>
        <w:tc>
          <w:tcPr>
            <w:tcW w:type="dxa" w:w="90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OI-01</w:t>
            </w:r>
          </w:p>
        </w:tc>
        <w:tc>
          <w:tcPr>
            <w:tcW w:type="dxa" w:w="19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台账落库粒度</w:t>
            </w:r>
          </w:p>
        </w:tc>
        <w:tc>
          <w:tcPr>
            <w:tcW w:type="dxa" w:w="36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hourly 落库 / daily 落库，hourly 仅留历史</w:t>
            </w:r>
          </w:p>
        </w:tc>
        <w:tc>
          <w:tcPr>
            <w:tcW w:type="dxa" w:w="25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表数上千时 Folio 存储与查询压力</w:t>
            </w:r>
          </w:p>
        </w:tc>
      </w:tr>
      <w:tr>
        <w:tc>
          <w:tcPr>
            <w:tcW w:type="dxa" w:w="90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OI-02</w:t>
            </w:r>
          </w:p>
        </w:tc>
        <w:tc>
          <w:tcPr>
            <w:tcW w:type="dxa" w:w="19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账单归属</w:t>
            </w:r>
          </w:p>
        </w:tc>
        <w:tc>
          <w:tcPr>
            <w:tcW w:type="dxa" w:w="36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energyMatrix 出账 / 只算不出账，导出给既有收费系统</w:t>
            </w:r>
          </w:p>
        </w:tc>
        <w:tc>
          <w:tcPr>
            <w:tcW w:type="dxa" w:w="25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域七实现范围与对接接口</w:t>
            </w:r>
          </w:p>
        </w:tc>
      </w:tr>
      <w:tr>
        <w:tc>
          <w:tcPr>
            <w:tcW w:type="dxa" w:w="90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OI-03</w:t>
            </w:r>
          </w:p>
        </w:tc>
        <w:tc>
          <w:tcPr>
            <w:tcW w:type="dxa" w:w="19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指标公式形式</w:t>
            </w:r>
          </w:p>
        </w:tc>
        <w:tc>
          <w:tcPr>
            <w:tcW w:type="dxa" w:w="36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Axon 表达式（现场可改） / 固化算子（需发版）</w:t>
            </w:r>
          </w:p>
        </w:tc>
        <w:tc>
          <w:tcPr>
            <w:tcW w:type="dxa" w:w="25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灵活性与安全性的取舍</w:t>
            </w:r>
          </w:p>
        </w:tc>
      </w:tr>
      <w:tr>
        <w:tc>
          <w:tcPr>
            <w:tcW w:type="dxa" w:w="90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OI-04</w:t>
            </w:r>
          </w:p>
        </w:tc>
        <w:tc>
          <w:tcPr>
            <w:tcW w:type="dxa" w:w="198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EmZone 语义</w:t>
            </w:r>
          </w:p>
        </w:tc>
        <w:tc>
          <w:tcPr>
            <w:tcW w:type="dxa" w:w="360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允许跨楼层 / 严格贴合 Haystack 5 space 语义</w:t>
            </w:r>
          </w:p>
        </w:tc>
        <w:tc>
          <w:tcPr>
            <w:tcW w:type="dxa" w:w="25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空间树与计量分区的对应关系</w:t>
            </w:r>
          </w:p>
        </w:tc>
      </w:tr>
      <w:tr>
        <w:tc>
          <w:tcPr>
            <w:tcW w:type="dxa" w:w="90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OI-05</w:t>
            </w:r>
          </w:p>
        </w:tc>
        <w:tc>
          <w:tcPr>
            <w:tcW w:type="dxa" w:w="198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租户主数据</w:t>
            </w:r>
          </w:p>
        </w:tc>
        <w:tc>
          <w:tcPr>
            <w:tcW w:type="dxa" w:w="360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进 Folio / 退化为外键并定时同步 ERP</w:t>
            </w:r>
          </w:p>
        </w:tc>
        <w:tc>
          <w:tcPr>
            <w:tcW w:type="dxa" w:w="25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组织树的权威源归属</w:t>
            </w:r>
          </w:p>
        </w:tc>
      </w:tr>
    </w:tbl>
    <w:p>
      <w:pPr>
        <w:spacing w:after="200" w:before="80"/>
        <w:jc w:val="center"/>
      </w:pPr>
      <w:r>
        <w:rPr>
          <w:rFonts w:ascii="Microsoft YaHei" w:cs="Microsoft YaHei" w:eastAsia="Microsoft YaHei" w:hAnsi="Microsoft YaHei"/>
          <w:color w:val="5B6B7A"/>
          <w:sz w:val="17"/>
          <w:szCs w:val="17"/>
        </w:rPr>
        <w:t xml:space="preserve">表 6-1  待决事项清单</w:t>
      </w:r>
    </w:p>
    <w:p>
      <w:pPr>
        <w:pStyle w:val="Heading1"/>
      </w:pPr>
      <w:r>
        <w:t>7  可视化与界面需求</w:t>
      </w:r>
    </w:p>
    <w:p>
      <w:pPr>
        <w:pStyle w:val="Heading2"/>
      </w:pPr>
      <w:r>
        <w:t>7.1  能流图（Sankey）</w:t>
      </w:r>
    </w:p>
    <w:p>
      <w:r>
        <w:t>能流图以桑基图（Sankey）呈现建筑能源从进线到分项用能的完整流向，是能耗分析的可视化补充。本需求随 V0.1.1 新增，落地为前端第 14 屏（hash 路由 /flow，FIN 顶栏菜单「能流图」，归「监测运行」组）。</w:t>
      </w:r>
    </w:p>
    <w:p>
      <w:r>
        <w:t>图形态：Sankey 桑基图，流向带宽度正比于能耗量，节点为表计/分项，按介质分色。</w:t>
      </w:r>
    </w:p>
    <w:p>
      <w:r>
        <w:t>数据口径：Layer 2 能耗台账（遵守铁律 6，禁直读 L1 点位历史）；流向宽度取选定账期内的台账合计，可回看任意账期。</w:t>
      </w:r>
    </w:p>
    <w:p>
      <w:r>
        <w:t>筛选维度：站点（必选）、账期（span）、介质（电/水/气/热/汽/油，可切换单介质视图）。</w:t>
      </w:r>
    </w:p>
    <w:p>
      <w:r>
        <w:t>结构来源：计量树 DAG（既有 Axon 端点 emMeterTree）——源表到子表/分项逐级汇入；缺口表产出汇入「不明用能」汇点；虚拟表作为派生节点；考核表不参与汇总（沿用 3.3 的汇总语义）。</w:t>
      </w:r>
    </w:p>
    <w:p>
      <w:r>
        <w:t>数值来源：既有 Axon 端点 emLedgerQuery.aggregate（dim 取 meter），本需求不新增后端接口、不新增 Axon 函数。</w:t>
      </w:r>
    </w:p>
    <w:p>
      <w:r>
        <w:t>交互约定：节点 tooltip 显示表计名、能耗值与单位；台账为空时给出「先构建台账」引导，不得白屏。</w:t>
      </w:r>
    </w:p>
    <w:p>
      <w:r>
        <w:t>权限与边界：本屏只读，不含任何写操作；节点点击钻取、实时（L1）口径为后续版本需求，不在 V0.1.1 范围。</w:t>
      </w:r>
    </w:p>
    <w:p>
      <w:pPr>
        <w:pStyle w:val="Heading2"/>
      </w:pPr>
      <w:r>
        <w:t>7.2  核心 KPI 考核（绿色医院评审支撑）</w:t>
      </w:r>
    </w:p>
    <w:p/>
    <w:p>
      <w:r>
        <w:t>面向绿色医院评审与机构绩效考核，自动计算单位能耗强度类核心指标，给出同比、环比与达标判定，为多院区并列排名提供统一口径。本需求随 V0.1.2 新增，落地为前端新屏（hash 路由 /kpi，FIN 顶栏菜单「KPI 考核」，归「分析优化」组，位于「能耗分析」与「定额与对标」之间），是第 15 屏。</w:t>
      </w:r>
    </w:p>
    <w:p/>
    <w:p>
      <w:r>
        <w:t>指标清单（初版，全部由既有 EmKpi 指标定义驱动，评审口径调整后可在「指标定义表」配置扩展，不改代码）：</w:t>
      </w:r>
    </w:p>
    <w:p/>
    <w:p>
      <w:r>
        <w:t>单位建筑面积综合能耗 EUI（kWh/m²·月）——既有定义 EUI_TOTAL；单位面积电耗 EUI_ELEC（kWh/m²·月）</w:t>
      </w:r>
    </w:p>
    <w:p/>
    <w:p>
      <w:r>
        <w:t>单位建筑面积水耗 WUI（m³/m²·月）——既有定义 WUI</w:t>
      </w:r>
    </w:p>
    <w:p/>
    <w:p>
      <w:r>
        <w:t>人均能耗（kWh/人·月）——既有定义 EUI_PC；人均水耗（m³/人·月）——既有定义 WATER_PER_BED（现有编码名与中文名不符，V0.1.2 一并校正）</w:t>
      </w:r>
    </w:p>
    <w:p/>
    <w:p>
      <w:r>
        <w:t>单位床位能耗（kWh/床·月）——新增；绿色医院评审核心指标，依赖新模型参数 emBeds（见下）</w:t>
      </w:r>
    </w:p>
    <w:p/>
    <w:p>
      <w:r>
        <w:t>单位面积碳排（kgCO₂/m²·年）——既有定义 CBEI，按年粒度</w:t>
      </w:r>
    </w:p>
    <w:p/>
    <w:p>
      <w:r>
        <w:t>数据口径：Layer 2 能耗台账（铁律 6，禁直读 L1 点位历史）。指标值一律由后端 EmKpiService 求值（emFormula 为 Axon 表达式，分母缺失返回 null 不得当 0），前端只做展示、不自算口径。粒度以月为主，碳排强度按年。</w:t>
      </w:r>
    </w:p>
    <w:p/>
    <w:p>
      <w:r>
        <w:t>模型变更（本需求唯一模型缺口）：EmSite 增加 emBeds:N（在册床位数，单位床位能耗的分母），Xeto 定义与 demo 数据同步补齐（5 个站点）；既有参数 area（建筑面积）、emOccupancy（在册人数）、emCoolArea（空调面积）沿用，不重定义。</w:t>
      </w:r>
    </w:p>
    <w:p>
      <w:r>
        <w:t>参数可配置：站点基础参数（建筑面积 / 空调面积 / 在册人数 / 床位数）统一在既有「数据模型配置」屏在线维护（PropertyForm 表单经既有 emEntityUpdate 写入，admin 权限、拒绝受保护标签、写操作留审计），KPI 考核屏不内嵌参数编辑；参数缺失时 KPI 屏显示「—」并引导去模型配置补录。</w:t>
      </w:r>
    </w:p>
    <w:p/>
    <w:p/>
    <w:p>
      <w:r>
        <w:t>筛选维度：账期（月，可回看任意已出账账期，支持多月趋势）；对象范围（多院区并列对比与排名；单站点下可下钻到 emDimension 允许的楼层 / 租户对象）。</w:t>
      </w:r>
    </w:p>
    <w:p/>
    <w:p>
      <w:r>
        <w:t>交互约定：KPI 卡片（当前值、单位、同比、环比、达标状态徽标）；院区排名表（同一指标跨对象排名，分母缺失显示「—」并注明缺哪个参数）；多月趋势图（叠加定额 / 国标基准线，基准线必须标注 emLimitSource 来源）；台账为空或指标无法求值时给空态引导，不得白屏、不得以 0 充数。</w:t>
      </w:r>
    </w:p>
    <w:p/>
    <w:p>
      <w:r>
        <w:t>权限与边界：本屏只读，不新增后端接口与 Axon 函数（复用既有 emKpiDefs / emKpiCompute / emKpiComputeAll / emQuotas / emQuotaProgressAll）；KPI 定义编辑与定额录入维持既有功能入口；EmKpiPoint 归一化点位固化（L3 写历史）不在 V0.1.2 范围，列后续版本。</w:t>
      </w:r>
    </w:p>
    <w:p/>
    <w:p>
      <w:pPr>
        <w:pStyle w:val="Heading1"/>
        <w:pageBreakBefore/>
        <w:pBdr>
          <w:bottom w:val="single" w:color="1597A5" w:sz="10" w:space="6"/>
        </w:pBdr>
        <w:spacing w:after="160" w:before="320"/>
      </w:pPr>
      <w:r>
        <w:rPr>
          <w:rFonts w:ascii="Microsoft YaHei" w:cs="Microsoft YaHei" w:eastAsia="Microsoft YaHei" w:hAnsi="Microsoft YaHei"/>
          <w:b/>
          <w:bCs/>
          <w:color w:val="0E2A47"/>
          <w:sz w:val="30"/>
          <w:szCs w:val="30"/>
        </w:rPr>
        <w:t xml:space="preserve">附录 A  Xeto 库文件清单</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800"/>
        <w:gridCol w:w="720"/>
        <w:gridCol w:w="6480"/>
      </w:tblGrid>
      <w:tr>
        <w:trPr>
          <w:tblHeader/>
        </w:trPr>
        <w:tc>
          <w:tcPr>
            <w:tcW w:type="dxa" w:w="180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文件</w:t>
            </w:r>
          </w:p>
        </w:tc>
        <w:tc>
          <w:tcPr>
            <w:tcW w:type="dxa" w:w="72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层</w:t>
            </w:r>
          </w:p>
        </w:tc>
        <w:tc>
          <w:tcPr>
            <w:tcW w:type="dxa" w:w="64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内容</w:t>
            </w:r>
          </w:p>
        </w:tc>
      </w:tr>
      <w:tr>
        <w:tc>
          <w:tcPr>
            <w:tcW w:type="dxa" w:w="180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lib.xeto</w:t>
            </w:r>
          </w:p>
        </w:tc>
        <w:tc>
          <w:tcPr>
            <w:tcW w:type="dxa" w:w="7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w:t>
            </w:r>
          </w:p>
        </w:tc>
        <w:tc>
          <w:tcPr>
            <w:tcW w:type="dxa" w:w="64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库声明、版本与依赖</w:t>
            </w:r>
          </w:p>
        </w:tc>
      </w:tr>
      <w:tr>
        <w:tc>
          <w:tcPr>
            <w:tcW w:type="dxa" w:w="180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tags.xeto</w:t>
            </w:r>
          </w:p>
        </w:tc>
        <w:tc>
          <w:tcPr>
            <w:tcW w:type="dxa" w:w="7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w:t>
            </w:r>
          </w:p>
        </w:tc>
        <w:tc>
          <w:tcPr>
            <w:tcW w:type="dxa" w:w="64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全局 marker、枚举、Choice 与关系型标签</w:t>
            </w:r>
          </w:p>
        </w:tc>
      </w:tr>
      <w:tr>
        <w:tc>
          <w:tcPr>
            <w:tcW w:type="dxa" w:w="180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spaces.xeto</w:t>
            </w:r>
          </w:p>
        </w:tc>
        <w:tc>
          <w:tcPr>
            <w:tcW w:type="dxa" w:w="7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L1</w:t>
            </w:r>
          </w:p>
        </w:tc>
        <w:tc>
          <w:tcPr>
            <w:tcW w:type="dxa" w:w="64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EmSite、EmFloor、EmZone、EmOrg、EmTenant</w:t>
            </w:r>
          </w:p>
        </w:tc>
      </w:tr>
      <w:tr>
        <w:tc>
          <w:tcPr>
            <w:tcW w:type="dxa" w:w="180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meters.xeto</w:t>
            </w:r>
          </w:p>
        </w:tc>
        <w:tc>
          <w:tcPr>
            <w:tcW w:type="dxa" w:w="7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L1</w:t>
            </w:r>
          </w:p>
        </w:tc>
        <w:tc>
          <w:tcPr>
            <w:tcW w:type="dxa" w:w="64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EmMeter 及六类介质子类</w:t>
            </w:r>
          </w:p>
        </w:tc>
      </w:tr>
      <w:tr>
        <w:tc>
          <w:tcPr>
            <w:tcW w:type="dxa" w:w="180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supply.xeto</w:t>
            </w:r>
          </w:p>
        </w:tc>
        <w:tc>
          <w:tcPr>
            <w:tcW w:type="dxa" w:w="7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L1</w:t>
            </w:r>
          </w:p>
        </w:tc>
        <w:tc>
          <w:tcPr>
            <w:tcW w:type="dxa" w:w="64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EmUtilityInlet、EmTransformer、EmPvSystem、EmBess、EmEvCharger</w:t>
            </w:r>
          </w:p>
        </w:tc>
      </w:tr>
      <w:tr>
        <w:tc>
          <w:tcPr>
            <w:tcW w:type="dxa" w:w="180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loads.xeto</w:t>
            </w:r>
          </w:p>
        </w:tc>
        <w:tc>
          <w:tcPr>
            <w:tcW w:type="dxa" w:w="7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L1</w:t>
            </w:r>
          </w:p>
        </w:tc>
        <w:tc>
          <w:tcPr>
            <w:tcW w:type="dxa" w:w="64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EmLoad、EmLoadGroup 及七类负荷子类型</w:t>
            </w:r>
          </w:p>
        </w:tc>
      </w:tr>
      <w:tr>
        <w:tc>
          <w:tcPr>
            <w:tcW w:type="dxa" w:w="180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points.xeto</w:t>
            </w:r>
          </w:p>
        </w:tc>
        <w:tc>
          <w:tcPr>
            <w:tcW w:type="dxa" w:w="7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L1</w:t>
            </w:r>
          </w:p>
        </w:tc>
        <w:tc>
          <w:tcPr>
            <w:tcW w:type="dxa" w:w="64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L1 累积读数与 L2 增量点位规范</w:t>
            </w:r>
          </w:p>
        </w:tc>
      </w:tr>
      <w:tr>
        <w:tc>
          <w:tcPr>
            <w:tcW w:type="dxa" w:w="180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ledger.xeto</w:t>
            </w:r>
          </w:p>
        </w:tc>
        <w:tc>
          <w:tcPr>
            <w:tcW w:type="dxa" w:w="7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L2</w:t>
            </w:r>
          </w:p>
        </w:tc>
        <w:tc>
          <w:tcPr>
            <w:tcW w:type="dxa" w:w="64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EmLedgerEntry、EmClosePeriod</w:t>
            </w:r>
          </w:p>
        </w:tc>
      </w:tr>
      <w:tr>
        <w:tc>
          <w:tcPr>
            <w:tcW w:type="dxa" w:w="180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alloc.xeto</w:t>
            </w:r>
          </w:p>
        </w:tc>
        <w:tc>
          <w:tcPr>
            <w:tcW w:type="dxa" w:w="7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L2</w:t>
            </w:r>
          </w:p>
        </w:tc>
        <w:tc>
          <w:tcPr>
            <w:tcW w:type="dxa" w:w="64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EmAllocRule、EmAllocShare</w:t>
            </w:r>
          </w:p>
        </w:tc>
      </w:tr>
      <w:tr>
        <w:tc>
          <w:tcPr>
            <w:tcW w:type="dxa" w:w="180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tariff.xeto</w:t>
            </w:r>
          </w:p>
        </w:tc>
        <w:tc>
          <w:tcPr>
            <w:tcW w:type="dxa" w:w="7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L2</w:t>
            </w:r>
          </w:p>
        </w:tc>
        <w:tc>
          <w:tcPr>
            <w:tcW w:type="dxa" w:w="64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EmTariff、EmTariffRate、EmDemandCharge、EmBill、EmBillItem</w:t>
            </w:r>
          </w:p>
        </w:tc>
      </w:tr>
      <w:tr>
        <w:tc>
          <w:tcPr>
            <w:tcW w:type="dxa" w:w="180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kpi.xeto</w:t>
            </w:r>
          </w:p>
        </w:tc>
        <w:tc>
          <w:tcPr>
            <w:tcW w:type="dxa" w:w="7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L2</w:t>
            </w:r>
          </w:p>
        </w:tc>
        <w:tc>
          <w:tcPr>
            <w:tcW w:type="dxa" w:w="64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EmKpi、EmKpiPoint、EmQuota</w:t>
            </w:r>
          </w:p>
        </w:tc>
      </w:tr>
      <w:tr>
        <w:tc>
          <w:tcPr>
            <w:tcW w:type="dxa" w:w="180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baseline.xeto</w:t>
            </w:r>
          </w:p>
        </w:tc>
        <w:tc>
          <w:tcPr>
            <w:tcW w:type="dxa" w:w="7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L2</w:t>
            </w:r>
          </w:p>
        </w:tc>
        <w:tc>
          <w:tcPr>
            <w:tcW w:type="dxa" w:w="64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EmBaseline、EmSavingsProject、EmAdjustment</w:t>
            </w:r>
          </w:p>
        </w:tc>
      </w:tr>
      <w:tr>
        <w:tc>
          <w:tcPr>
            <w:tcW w:type="dxa" w:w="180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carbon.xeto</w:t>
            </w:r>
          </w:p>
        </w:tc>
        <w:tc>
          <w:tcPr>
            <w:tcW w:type="dxa" w:w="7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L2</w:t>
            </w:r>
          </w:p>
        </w:tc>
        <w:tc>
          <w:tcPr>
            <w:tcW w:type="dxa" w:w="64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EmEmissionFactor、EmCarbonAccount、EmCarbonTarget、EmGreenCert</w:t>
            </w:r>
          </w:p>
        </w:tc>
      </w:tr>
      <w:tr>
        <w:tc>
          <w:tcPr>
            <w:tcW w:type="dxa" w:w="180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diagnostic.xeto</w:t>
            </w:r>
          </w:p>
        </w:tc>
        <w:tc>
          <w:tcPr>
            <w:tcW w:type="dxa" w:w="7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L2</w:t>
            </w:r>
          </w:p>
        </w:tc>
        <w:tc>
          <w:tcPr>
            <w:tcW w:type="dxa" w:w="64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EmDiagnostic、EmAnomaly、EmWorkOrder</w:t>
            </w:r>
          </w:p>
        </w:tc>
      </w:tr>
    </w:tbl>
    <w:p>
      <w:pPr>
        <w:pStyle w:val="Heading1"/>
        <w:pageBreakBefore/>
        <w:pBdr>
          <w:bottom w:val="single" w:color="1597A5" w:sz="10" w:space="6"/>
        </w:pBdr>
        <w:spacing w:after="160" w:before="320"/>
      </w:pPr>
      <w:r>
        <w:rPr>
          <w:rFonts w:ascii="Microsoft YaHei" w:cs="Microsoft YaHei" w:eastAsia="Microsoft YaHei" w:hAnsi="Microsoft YaHei"/>
          <w:b/>
          <w:bCs/>
          <w:color w:val="0E2A47"/>
          <w:sz w:val="30"/>
          <w:szCs w:val="30"/>
        </w:rPr>
        <w:t xml:space="preserve">附录 B  对象速查表</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620"/>
        <w:gridCol w:w="3060"/>
        <w:gridCol w:w="4320"/>
      </w:tblGrid>
      <w:tr>
        <w:trPr>
          <w:tblHeader/>
        </w:trPr>
        <w:tc>
          <w:tcPr>
            <w:tcW w:type="dxa" w:w="162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域</w:t>
            </w:r>
          </w:p>
        </w:tc>
        <w:tc>
          <w:tcPr>
            <w:tcW w:type="dxa" w:w="306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核心对象</w:t>
            </w:r>
          </w:p>
        </w:tc>
        <w:tc>
          <w:tcPr>
            <w:tcW w:type="dxa" w:w="432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一句话职责</w:t>
            </w:r>
          </w:p>
        </w:tc>
      </w:tr>
      <w:tr>
        <w:tc>
          <w:tcPr>
            <w:tcW w:type="dxa" w:w="16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一 空间与组织</w:t>
            </w:r>
          </w:p>
        </w:tc>
        <w:tc>
          <w:tcPr>
            <w:tcW w:type="dxa" w:w="30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EmSite / EmZone / EmTenant</w:t>
            </w:r>
          </w:p>
        </w:tc>
        <w:tc>
          <w:tcPr>
            <w:tcW w:type="dxa" w:w="43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空间树与组织树正交并存</w:t>
            </w:r>
          </w:p>
        </w:tc>
      </w:tr>
      <w:tr>
        <w:tc>
          <w:tcPr>
            <w:tcW w:type="dxa" w:w="16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二 计量</w:t>
            </w:r>
          </w:p>
        </w:tc>
        <w:tc>
          <w:tcPr>
            <w:tcW w:type="dxa" w:w="30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EmMeter 及子类</w:t>
            </w:r>
          </w:p>
        </w:tc>
        <w:tc>
          <w:tcPr>
            <w:tcW w:type="dxa" w:w="43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唯一入账主体，构成同介质 DAG</w:t>
            </w:r>
          </w:p>
        </w:tc>
      </w:tr>
      <w:tr>
        <w:tc>
          <w:tcPr>
            <w:tcW w:type="dxa" w:w="16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三 供能</w:t>
            </w:r>
          </w:p>
        </w:tc>
        <w:tc>
          <w:tcPr>
            <w:tcW w:type="dxa" w:w="30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EmUtilityInlet / EmPvSystem / EmBess</w:t>
            </w:r>
          </w:p>
        </w:tc>
        <w:tc>
          <w:tcPr>
            <w:tcW w:type="dxa" w:w="43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能源节点同样挂表</w:t>
            </w:r>
          </w:p>
        </w:tc>
      </w:tr>
      <w:tr>
        <w:tc>
          <w:tcPr>
            <w:tcW w:type="dxa" w:w="16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四 用能</w:t>
            </w:r>
          </w:p>
        </w:tc>
        <w:tc>
          <w:tcPr>
            <w:tcW w:type="dxa" w:w="30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EmLoad</w:t>
            </w:r>
          </w:p>
        </w:tc>
        <w:tc>
          <w:tcPr>
            <w:tcW w:type="dxa" w:w="43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为既有设备赋予能耗身份</w:t>
            </w:r>
          </w:p>
        </w:tc>
      </w:tr>
      <w:tr>
        <w:tc>
          <w:tcPr>
            <w:tcW w:type="dxa" w:w="16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五 台账</w:t>
            </w:r>
          </w:p>
        </w:tc>
        <w:tc>
          <w:tcPr>
            <w:tcW w:type="dxa" w:w="30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EmLedgerEntry / EmClosePeriod</w:t>
            </w:r>
          </w:p>
        </w:tc>
        <w:tc>
          <w:tcPr>
            <w:tcW w:type="dxa" w:w="43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唯一事实源，关账即冻结</w:t>
            </w:r>
          </w:p>
        </w:tc>
      </w:tr>
      <w:tr>
        <w:tc>
          <w:tcPr>
            <w:tcW w:type="dxa" w:w="16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六 分摊</w:t>
            </w:r>
          </w:p>
        </w:tc>
        <w:tc>
          <w:tcPr>
            <w:tcW w:type="dxa" w:w="30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EmAllocRule</w:t>
            </w:r>
          </w:p>
        </w:tc>
        <w:tc>
          <w:tcPr>
            <w:tcW w:type="dxa" w:w="43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七种方法，规则版本化，结果回指规则</w:t>
            </w:r>
          </w:p>
        </w:tc>
      </w:tr>
      <w:tr>
        <w:tc>
          <w:tcPr>
            <w:tcW w:type="dxa" w:w="16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七 计费</w:t>
            </w:r>
          </w:p>
        </w:tc>
        <w:tc>
          <w:tcPr>
            <w:tcW w:type="dxa" w:w="30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EmTariff / EmBill</w:t>
            </w:r>
          </w:p>
        </w:tc>
        <w:tc>
          <w:tcPr>
            <w:tcW w:type="dxa" w:w="43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账单项逐笔挂台账</w:t>
            </w:r>
          </w:p>
        </w:tc>
      </w:tr>
      <w:tr>
        <w:tc>
          <w:tcPr>
            <w:tcW w:type="dxa" w:w="16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八 指标</w:t>
            </w:r>
          </w:p>
        </w:tc>
        <w:tc>
          <w:tcPr>
            <w:tcW w:type="dxa" w:w="30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EmKpi / EmQuota</w:t>
            </w:r>
          </w:p>
        </w:tc>
        <w:tc>
          <w:tcPr>
            <w:tcW w:type="dxa" w:w="43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定义与时序实例分离</w:t>
            </w:r>
          </w:p>
        </w:tc>
      </w:tr>
      <w:tr>
        <w:tc>
          <w:tcPr>
            <w:tcW w:type="dxa" w:w="16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九 核证</w:t>
            </w:r>
          </w:p>
        </w:tc>
        <w:tc>
          <w:tcPr>
            <w:tcW w:type="dxa" w:w="30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EmBaseline / EmSavingsProject</w:t>
            </w:r>
          </w:p>
        </w:tc>
        <w:tc>
          <w:tcPr>
            <w:tcW w:type="dxa" w:w="43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IPMVP 四选项，节能量三态分离</w:t>
            </w:r>
          </w:p>
        </w:tc>
      </w:tr>
      <w:tr>
        <w:tc>
          <w:tcPr>
            <w:tcW w:type="dxa" w:w="16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十 碳</w:t>
            </w:r>
          </w:p>
        </w:tc>
        <w:tc>
          <w:tcPr>
            <w:tcW w:type="dxa" w:w="306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EmEmissionFactor / EmCarbonAccount</w:t>
            </w:r>
          </w:p>
        </w:tc>
        <w:tc>
          <w:tcPr>
            <w:tcW w:type="dxa" w:w="4320"/>
            <w:shd w:fill="F7FAFC"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因子版本锁定在账期内</w:t>
            </w:r>
          </w:p>
        </w:tc>
      </w:tr>
      <w:tr>
        <w:tc>
          <w:tcPr>
            <w:tcW w:type="dxa" w:w="16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十一 闭环</w:t>
            </w:r>
          </w:p>
        </w:tc>
        <w:tc>
          <w:tcPr>
            <w:tcW w:type="dxa" w:w="306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EmDiagnostic / EmAnomaly / EmWorkOrder</w:t>
            </w:r>
          </w:p>
        </w:tc>
        <w:tc>
          <w:tcPr>
            <w:tcW w:type="dxa" w:w="4320"/>
            <w:shd w:fill="FFFFFF"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color w:val="1F2933"/>
                <w:sz w:val="18"/>
                <w:szCs w:val="18"/>
              </w:rPr>
              <w:t xml:space="preserve">诊断到工单到措施到核证</w:t>
            </w:r>
          </w:p>
        </w:tc>
      </w:tr>
    </w:tbl>
    <w:p>
      <w:pPr>
        <w:pStyle w:val="Heading1"/>
        <w:pageBreakBefore/>
        <w:pBdr>
          <w:bottom w:val="single" w:color="1597A5" w:sz="10" w:space="6"/>
        </w:pBdr>
        <w:spacing w:after="160" w:before="320"/>
      </w:pPr>
      <w:r>
        <w:rPr>
          <w:rFonts w:ascii="Microsoft YaHei" w:cs="Microsoft YaHei" w:eastAsia="Microsoft YaHei" w:hAnsi="Microsoft YaHei"/>
          <w:b/>
          <w:bCs/>
          <w:color w:val="0E2A47"/>
          <w:sz w:val="30"/>
          <w:szCs w:val="30"/>
        </w:rPr>
        <w:t xml:space="preserve">附录 C  枚举值全集</w:t>
      </w:r>
    </w:p>
    <w:tbl>
      <w:tblPr>
        <w:tblW w:type="dxa" w:w="9000"/>
        <w:tblBorders>
          <w:top w:val="single" w:color="C9D6E0" w:sz="4"/>
          <w:left w:val="single" w:color="C9D6E0" w:sz="4"/>
          <w:bottom w:val="single" w:color="C9D6E0" w:sz="4"/>
          <w:right w:val="single" w:color="C9D6E0" w:sz="4"/>
          <w:insideH w:val="single" w:color="E3EAF0" w:sz="2"/>
          <w:insideV w:val="single" w:color="E3EAF0" w:sz="2"/>
        </w:tblBorders>
      </w:tblPr>
      <w:tblGrid>
        <w:gridCol w:w="1980"/>
        <w:gridCol w:w="7020"/>
      </w:tblGrid>
      <w:tr>
        <w:trPr>
          <w:tblHeader/>
        </w:trPr>
        <w:tc>
          <w:tcPr>
            <w:tcW w:type="dxa" w:w="198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枚举</w:t>
            </w:r>
          </w:p>
        </w:tc>
        <w:tc>
          <w:tcPr>
            <w:tcW w:type="dxa" w:w="7020"/>
            <w:shd w:fill="0E2A47" w:val="clear"/>
            <w:tcMar>
              <w:top w:type="dxa" w:w="70"/>
              <w:left w:type="dxa" w:w="110"/>
              <w:bottom w:type="dxa" w:w="70"/>
              <w:right w:type="dxa" w:w="110"/>
            </w:tcMar>
            <w:vAlign w:val="center"/>
          </w:tcPr>
          <w:p>
            <w:pPr>
              <w:spacing w:after="0" w:before="0" w:line="260"/>
            </w:pPr>
            <w:r>
              <w:rPr>
                <w:rFonts w:ascii="Microsoft YaHei" w:cs="Microsoft YaHei" w:eastAsia="Microsoft YaHei" w:hAnsi="Microsoft YaHei"/>
                <w:b/>
                <w:bCs/>
                <w:color w:val="FFFFFF"/>
                <w:sz w:val="18"/>
                <w:szCs w:val="18"/>
              </w:rPr>
              <w:t xml:space="preserve">取值</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EmMeterRole</w:t>
            </w:r>
          </w:p>
        </w:tc>
        <w:tc>
          <w:tcPr>
            <w:tcW w:type="dxa" w:w="70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gateway、main、branch、sub、check、virtual</w:t>
            </w:r>
          </w:p>
        </w:tc>
      </w:tr>
      <w:tr>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EmSubItem</w:t>
            </w:r>
          </w:p>
        </w:tc>
        <w:tc>
          <w:tcPr>
            <w:tcW w:type="dxa" w:w="70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a1、a2、a3、b1、b2、c1、c2、c3、d1、d2、d3、d4、d5、d6</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EmUsageType</w:t>
            </w:r>
          </w:p>
        </w:tc>
        <w:tc>
          <w:tcPr>
            <w:tcW w:type="dxa" w:w="70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office、retail、hotel、hospital、datacenter、industrial、residence、common、parking</w:t>
            </w:r>
          </w:p>
        </w:tc>
      </w:tr>
      <w:tr>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EmDataSource</w:t>
            </w:r>
          </w:p>
        </w:tc>
        <w:tc>
          <w:tcPr>
            <w:tcW w:type="dxa" w:w="70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measured、derived、allocated、estimated、manual</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EmGranularity</w:t>
            </w:r>
          </w:p>
        </w:tc>
        <w:tc>
          <w:tcPr>
            <w:tcW w:type="dxa" w:w="70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hourly、daily、monthly、yearly</w:t>
            </w:r>
          </w:p>
        </w:tc>
      </w:tr>
      <w:tr>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EmAllocMethod</w:t>
            </w:r>
          </w:p>
        </w:tc>
        <w:tc>
          <w:tcPr>
            <w:tcW w:type="dxa" w:w="70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byArea、byHeadcount、byFixedRatio、byRatedRuntime、byRemainder、bySubMeterPro、custom</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EmPricingModel</w:t>
            </w:r>
          </w:p>
        </w:tc>
        <w:tc>
          <w:tcPr>
            <w:tcW w:type="dxa" w:w="70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flat、tou、tiered、twoPart、contract</w:t>
            </w:r>
          </w:p>
        </w:tc>
      </w:tr>
      <w:tr>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EmBillStatus</w:t>
            </w:r>
          </w:p>
        </w:tc>
        <w:tc>
          <w:tcPr>
            <w:tcW w:type="dxa" w:w="70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draft、issued、disputed、settled、voided</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EmQuotaSource</w:t>
            </w:r>
          </w:p>
        </w:tc>
        <w:tc>
          <w:tcPr>
            <w:tcW w:type="dxa" w:w="70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standard、historical、benchmark、contract、manual</w:t>
            </w:r>
          </w:p>
        </w:tc>
      </w:tr>
      <w:tr>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EmIpmvpOption</w:t>
            </w:r>
          </w:p>
        </w:tc>
        <w:tc>
          <w:tcPr>
            <w:tcW w:type="dxa" w:w="70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optionA、optionB、optionC、optionD</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EmModelType</w:t>
            </w:r>
          </w:p>
        </w:tc>
        <w:tc>
          <w:tcPr>
            <w:tcW w:type="dxa" w:w="70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linearRegression、multiVarRegression、changePoint、gbdt、simulation</w:t>
            </w:r>
          </w:p>
        </w:tc>
      </w:tr>
      <w:tr>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EmVerifyStatus</w:t>
            </w:r>
          </w:p>
        </w:tc>
        <w:tc>
          <w:tcPr>
            <w:tcW w:type="dxa" w:w="70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planned、monitoring、computed、verified、rejected</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EmScope</w:t>
            </w:r>
          </w:p>
        </w:tc>
        <w:tc>
          <w:tcPr>
            <w:tcW w:type="dxa" w:w="70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scope1、scope2、scope3</w:t>
            </w:r>
          </w:p>
        </w:tc>
      </w:tr>
      <w:tr>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EmDiagCategory</w:t>
            </w:r>
          </w:p>
        </w:tc>
        <w:tc>
          <w:tcPr>
            <w:tcW w:type="dxa" w:w="70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dataQuality、balance、overConsume、efficiency、scheduleWaste、demandRisk、quotaRisk、carbonRisk</w:t>
            </w:r>
          </w:p>
        </w:tc>
      </w:tr>
      <w:tr>
        <w:tc>
          <w:tcPr>
            <w:tcW w:type="dxa" w:w="198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EmSeverity</w:t>
            </w:r>
          </w:p>
        </w:tc>
        <w:tc>
          <w:tcPr>
            <w:tcW w:type="dxa" w:w="7020"/>
            <w:shd w:fill="FFFFFF"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info、warn、critical</w:t>
            </w:r>
          </w:p>
        </w:tc>
      </w:tr>
      <w:tr>
        <w:tc>
          <w:tcPr>
            <w:tcW w:type="dxa" w:w="198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EmAnomalyStatus</w:t>
            </w:r>
          </w:p>
        </w:tc>
        <w:tc>
          <w:tcPr>
            <w:tcW w:type="dxa" w:w="7020"/>
            <w:shd w:fill="F7FAFC" w:val="clear"/>
            <w:tcMar>
              <w:top w:type="dxa" w:w="70"/>
              <w:left w:type="dxa" w:w="110"/>
              <w:bottom w:type="dxa" w:w="70"/>
              <w:right w:type="dxa" w:w="110"/>
            </w:tcMar>
            <w:vAlign w:val="center"/>
          </w:tcPr>
          <w:p>
            <w:pPr>
              <w:spacing w:after="0" w:before="0" w:line="260"/>
            </w:pPr>
            <w:r>
              <w:rPr>
                <w:rFonts w:ascii="Consolas" w:cs="Consolas" w:eastAsia="Consolas" w:hAnsi="Consolas"/>
                <w:color w:val="1F2933"/>
                <w:sz w:val="18"/>
                <w:szCs w:val="18"/>
              </w:rPr>
              <w:t xml:space="preserve">open、acked、dispatched、resolved、falseAlarm</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0" w:sz="4" w:space="6"/>
      </w:pBdr>
      <w:spacing w:before="120"/>
      <w:jc w:val="center"/>
    </w:pPr>
    <w:r>
      <w:rPr>
        <w:rFonts w:ascii="Microsoft YaHei" w:cs="Microsoft YaHei" w:eastAsia="Microsoft YaHei" w:hAnsi="Microsoft YaHei"/>
        <w:color w:val="5B6B7A"/>
        <w:sz w:val="16"/>
        <w:szCs w:val="16"/>
      </w:rPr>
      <w:t xml:space="preserve">energyMatrix 语义模型设计说明书  ·  ai4building  ·  </w:t>
    </w:r>
    <w:r>
      <w:rPr>
        <w:rFonts w:ascii="Consolas" w:cs="Consolas" w:eastAsia="Consolas" w:hAnsi="Consolas"/>
        <w:color w:val="5B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energyMatrix 语义模型设计说明书</dc:title>
  <dc:creator>ai4building</dc:creator>
  <cp:lastModifiedBy>Un-named</cp:lastModifiedBy>
  <cp:revision>1</cp:revision>
  <dcterms:created xsi:type="dcterms:W3CDTF">2026-09-01T04:33:32.491Z</dcterms:created>
  <dcterms:modified xsi:type="dcterms:W3CDTF">2026-09-01T04:33:32.491Z</dcterms:modified>
</cp:coreProperties>
</file>

<file path=docProps/custom.xml><?xml version="1.0" encoding="utf-8"?>
<Properties xmlns="http://schemas.openxmlformats.org/officeDocument/2006/custom-properties" xmlns:vt="http://schemas.openxmlformats.org/officeDocument/2006/docPropsVTypes"/>
</file>