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jc w:val="center"/>
      </w:pPr>
      <w:r>
        <w:rPr>
          <w:rFonts w:ascii="Arial" w:cs="Arial" w:eastAsia="Microsoft YaHei" w:hAnsi="Arial"/>
          <w:b/>
          <w:bCs/>
          <w:color w:val="1E2832"/>
          <w:sz w:val="48"/>
          <w:szCs w:val="48"/>
        </w:rPr>
        <w:t xml:space="preserve">energyMatrix 建筑能源管理系统</w:t>
      </w:r>
    </w:p>
    <w:p>
      <w:pPr>
        <w:spacing w:after="300"/>
        <w:jc w:val="center"/>
      </w:pPr>
      <w:r>
        <w:rPr>
          <w:rFonts w:ascii="Arial" w:cs="Arial" w:eastAsia="Microsoft YaHei" w:hAnsi="Arial"/>
          <w:b/>
          <w:bCs/>
          <w:color w:val="0B5F77"/>
          <w:sz w:val="40"/>
          <w:szCs w:val="40"/>
        </w:rPr>
        <w:t xml:space="preserve">解决方案技术说明</w:t>
      </w:r>
    </w:p>
    <w:p>
      <w:pPr>
        <w:spacing w:after="1600"/>
        <w:jc w:val="center"/>
      </w:pPr>
      <w:r>
        <w:rPr>
          <w:rFonts w:ascii="Arial" w:cs="Arial" w:eastAsia="Microsoft YaHei" w:hAnsi="Arial"/>
          <w:color w:val="5C6B78"/>
          <w:sz w:val="28"/>
          <w:szCs w:val="28"/>
        </w:rPr>
        <w:t xml:space="preserve">V1.0</w:t>
      </w:r>
    </w:p>
    <w:p>
      <w:pPr>
        <w:spacing w:after="160"/>
        <w:jc w:val="center"/>
      </w:pPr>
      <w:r>
        <w:rPr>
          <w:rFonts w:ascii="Arial" w:cs="Arial" w:eastAsia="Microsoft YaHei" w:hAnsi="Arial"/>
          <w:color w:val="1E2832"/>
          <w:sz w:val="24"/>
          <w:szCs w:val="24"/>
        </w:rPr>
        <w:t xml:space="preserve">西门子（中国）有限公司</w:t>
      </w:r>
    </w:p>
    <w:p>
      <w:pPr>
        <w:spacing w:after="120" w:line="320"/>
        <w:jc w:val="center"/>
      </w:pPr>
      <w:r>
        <w:rPr>
          <w:rFonts w:ascii="Arial" w:cs="Arial" w:eastAsia="Microsoft YaHei" w:hAnsi="Arial"/>
          <w:color w:val="5C6B78"/>
          <w:sz w:val="22"/>
          <w:szCs w:val="22"/>
        </w:rPr>
        <w:t xml:space="preserve">2026 年 9 月</w:t>
      </w:r>
    </w:p>
    <w:p>
      <w:r>
        <w:br w:type="page"/>
      </w:r>
    </w:p>
    <w:p>
      <w:pPr>
        <w:spacing w:after="240"/>
        <w:jc w:val="center"/>
      </w:pPr>
      <w:r>
        <w:rPr>
          <w:rFonts w:ascii="Arial" w:cs="Arial" w:eastAsia="Microsoft YaHei" w:hAnsi="Arial"/>
          <w:b/>
          <w:bCs/>
          <w:color w:val="1E2832"/>
          <w:sz w:val="30"/>
          <w:szCs w:val="30"/>
        </w:rPr>
        <w:t xml:space="preserve">目  录</w:t>
      </w:r>
    </w:p>
    <w:sdt xmlns:w="http://schemas.openxmlformats.org/wordprocessingml/2006/main">
      <w:sdtPr>
        <w:alias w:val="目录"/>
      </w:sdtPr>
      <w:sdtContent>
        <w:p>
          <w:r>
            <w:fldChar w:fldCharType="begin" w:dirty="true"/>
            <w:instrText xml:space="preserve"> TOC \o "1-2" \h \z \u </w:instrText>
            <w:fldChar w:fldCharType="separate"/>
          </w:r>
        </w:p>
        <w:p>
          <w:pPr>
            <w:pStyle w:val="TOC1"/>
            <w:tabs>
              <w:tab w:val="right" w:leader="dot" w:pos="9000"/>
            </w:tabs>
            <w:ind w:left="0"/>
          </w:pPr>
          <w:r>
            <w:t>一、项目概述</w:t>
          </w:r>
          <w:r>
            <w:tab/>
          </w:r>
          <w:r>
            <w:t>3</w:t>
          </w:r>
        </w:p>
        <w:p>
          <w:pPr>
            <w:pStyle w:val="TOC1"/>
            <w:tabs>
              <w:tab w:val="right" w:leader="dot" w:pos="9000"/>
            </w:tabs>
            <w:ind w:left="0"/>
          </w:pPr>
          <w:r>
            <w:t>二、系统设计要求与设计依据</w:t>
          </w:r>
          <w:r>
            <w:tab/>
          </w:r>
          <w:r>
            <w:t>4</w:t>
          </w:r>
        </w:p>
        <w:p>
          <w:pPr>
            <w:pStyle w:val="TOC1"/>
            <w:tabs>
              <w:tab w:val="right" w:leader="dot" w:pos="9000"/>
            </w:tabs>
            <w:ind w:left="0"/>
          </w:pPr>
          <w:r>
            <w:t>三、子系统设计</w:t>
          </w:r>
          <w:r>
            <w:tab/>
          </w:r>
          <w:r>
            <w:t>5</w:t>
          </w:r>
        </w:p>
        <w:p>
          <w:pPr>
            <w:pStyle w:val="TOC1"/>
            <w:tabs>
              <w:tab w:val="right" w:leader="dot" w:pos="9000"/>
            </w:tabs>
            <w:ind w:left="0"/>
          </w:pPr>
          <w:r>
            <w:t>四、系统架构设计</w:t>
          </w:r>
          <w:r>
            <w:tab/>
          </w:r>
          <w:r>
            <w:t>9</w:t>
          </w:r>
        </w:p>
        <w:p>
          <w:pPr>
            <w:pStyle w:val="TOC1"/>
            <w:tabs>
              <w:tab w:val="right" w:leader="dot" w:pos="9000"/>
            </w:tabs>
            <w:ind w:left="0"/>
          </w:pPr>
          <w:r>
            <w:t>五、应用场景</w:t>
          </w:r>
          <w:r>
            <w:tab/>
          </w:r>
          <w:r>
            <w:t>10</w:t>
          </w:r>
        </w:p>
        <w:p>
          <w:pPr>
            <w:pStyle w:val="TOC1"/>
            <w:tabs>
              <w:tab w:val="right" w:leader="dot" w:pos="9000"/>
            </w:tabs>
            <w:ind w:left="0"/>
          </w:pPr>
          <w:r>
            <w:t>六、技术参数</w:t>
          </w:r>
          <w:r>
            <w:tab/>
          </w:r>
          <w:r>
            <w:t>12</w:t>
          </w:r>
        </w:p>
        <w:p>
          <w:pPr>
            <w:pStyle w:val="TOC1"/>
            <w:tabs>
              <w:tab w:val="right" w:leader="dot" w:pos="9000"/>
            </w:tabs>
            <w:ind w:left="0"/>
          </w:pPr>
          <w:r>
            <w:t>七、数据治理十条铁律</w:t>
          </w:r>
          <w:r>
            <w:tab/>
          </w:r>
          <w:r>
            <w:t>15</w:t>
          </w:r>
        </w:p>
        <w:p>
          <w:r>
            <w:fldChar w:fldCharType="end"/>
          </w:r>
        </w:p>
      </w:sdtContent>
    </w:sdt>
    <w:p>
      <w:r>
        <w:br w:type="page"/>
      </w:r>
    </w:p>
    <w:p>
      <w:pPr>
        <w:pStyle w:val="Heading1"/>
        <w:spacing w:after="180" w:before="360"/>
      </w:pPr>
      <w:r>
        <w:rPr>
          <w:rFonts w:ascii="Arial" w:cs="Arial" w:eastAsia="Microsoft YaHei" w:hAnsi="Arial"/>
          <w:b/>
          <w:bCs/>
          <w:color w:val="0B5F77"/>
          <w:sz w:val="32"/>
          <w:szCs w:val="32"/>
        </w:rPr>
        <w:t xml:space="preserve">一、项目概述</w:t>
      </w:r>
    </w:p>
    <w:p>
      <w:pPr>
        <w:pStyle w:val="Heading2"/>
        <w:spacing w:after="140" w:before="280"/>
      </w:pPr>
      <w:r>
        <w:rPr>
          <w:rFonts w:ascii="Arial" w:cs="Arial" w:eastAsia="Microsoft YaHei" w:hAnsi="Arial"/>
          <w:b/>
          <w:bCs/>
          <w:color w:val="1E2832"/>
          <w:sz w:val="26"/>
          <w:szCs w:val="26"/>
        </w:rPr>
        <w:t xml:space="preserve">1.1 项目名称</w:t>
      </w:r>
    </w:p>
    <w:p>
      <w:pPr>
        <w:spacing w:after="120" w:line="320"/>
        <w:ind w:firstLine="504"/>
      </w:pPr>
      <w:r>
        <w:rPr>
          <w:rFonts w:ascii="Times New Roman" w:cs="Times New Roman" w:eastAsia="SimSun" w:hAnsi="Times New Roman"/>
          <w:color w:val="1E2832"/>
          <w:sz w:val="21"/>
          <w:szCs w:val="21"/>
        </w:rPr>
        <w:t xml:space="preserve">energyMatrix 建筑能源管理系统建设项目（以下简称“本系统”）。</w:t>
      </w:r>
    </w:p>
    <w:p>
      <w:pPr>
        <w:pStyle w:val="Heading2"/>
        <w:spacing w:after="140" w:before="280"/>
      </w:pPr>
      <w:r>
        <w:rPr>
          <w:rFonts w:ascii="Arial" w:cs="Arial" w:eastAsia="Microsoft YaHei" w:hAnsi="Arial"/>
          <w:b/>
          <w:bCs/>
          <w:color w:val="1E2832"/>
          <w:sz w:val="26"/>
          <w:szCs w:val="26"/>
        </w:rPr>
        <w:t xml:space="preserve">1.2 实施范围</w:t>
      </w:r>
    </w:p>
    <w:p>
      <w:pPr>
        <w:spacing w:after="120" w:line="320"/>
        <w:ind w:firstLine="504"/>
      </w:pPr>
      <w:r>
        <w:rPr>
          <w:rFonts w:ascii="Times New Roman" w:cs="Times New Roman" w:eastAsia="SimSun" w:hAnsi="Times New Roman"/>
          <w:color w:val="1E2832"/>
          <w:sz w:val="21"/>
          <w:szCs w:val="21"/>
        </w:rPr>
        <w:t xml:space="preserve">覆盖项目红线内的全部能耗计量对象：电力（关口、分项、楼层与租户回路）、自来水与中水、燃气、冷量与热量，以及光伏、储能、充电桩等供能产储设施；向上接入集团多站点管理与对上报表，向下接入既有楼宇自控与电力监控系统。</w:t>
      </w:r>
    </w:p>
    <w:p>
      <w:pPr>
        <w:pStyle w:val="Heading2"/>
        <w:spacing w:after="140" w:before="280"/>
      </w:pPr>
      <w:r>
        <w:rPr>
          <w:rFonts w:ascii="Arial" w:cs="Arial" w:eastAsia="Microsoft YaHei" w:hAnsi="Arial"/>
          <w:b/>
          <w:bCs/>
          <w:color w:val="1E2832"/>
          <w:sz w:val="26"/>
          <w:szCs w:val="26"/>
        </w:rPr>
        <w:t xml:space="preserve">1.3 应用场景</w:t>
      </w:r>
    </w:p>
    <w:p>
      <w:pPr>
        <w:spacing w:after="120" w:line="320"/>
        <w:ind w:firstLine="504"/>
      </w:pPr>
      <w:r>
        <w:rPr>
          <w:rFonts w:ascii="Times New Roman" w:cs="Times New Roman" w:eastAsia="SimSun" w:hAnsi="Times New Roman"/>
          <w:color w:val="1E2832"/>
          <w:sz w:val="21"/>
          <w:szCs w:val="21"/>
        </w:rPr>
        <w:t xml:space="preserve">办公区、会议室、医院门诊与住院、商业综合体租户区、体育场馆大空间、设备机房、地下空间等。</w:t>
      </w:r>
    </w:p>
    <w:p>
      <w:pPr>
        <w:pStyle w:val="Heading2"/>
        <w:spacing w:after="140" w:before="280"/>
      </w:pPr>
      <w:r>
        <w:rPr>
          <w:rFonts w:ascii="Arial" w:cs="Arial" w:eastAsia="Microsoft YaHei" w:hAnsi="Arial"/>
          <w:b/>
          <w:bCs/>
          <w:color w:val="1E2832"/>
          <w:sz w:val="26"/>
          <w:szCs w:val="26"/>
        </w:rPr>
        <w:t xml:space="preserve">1.4 项目建设要求</w:t>
      </w:r>
    </w:p>
    <w:p>
      <w:pPr>
        <w:spacing w:after="120" w:line="320"/>
        <w:ind w:firstLine="504"/>
      </w:pPr>
      <w:r>
        <w:rPr>
          <w:rFonts w:ascii="Times New Roman" w:cs="Times New Roman" w:eastAsia="SimSun" w:hAnsi="Times New Roman"/>
          <w:color w:val="1E2832"/>
          <w:sz w:val="21"/>
          <w:szCs w:val="21"/>
        </w:rPr>
        <w:t xml:space="preserve">完成项目区域的能耗物联网建设，通过“语义模型 + 能耗台账 + 边缘引擎”提升数字化运营水平，为管理者提供安全、高效、节能、低碳的用能环境。</w:t>
      </w:r>
    </w:p>
    <w:p>
      <w:pPr>
        <w:spacing w:after="120" w:line="320"/>
        <w:ind w:firstLine="504"/>
      </w:pPr>
      <w:r>
        <w:rPr>
          <w:rFonts w:ascii="Times New Roman" w:cs="Times New Roman" w:eastAsia="SimSun" w:hAnsi="Times New Roman"/>
          <w:color w:val="1E2832"/>
          <w:sz w:val="21"/>
          <w:szCs w:val="21"/>
        </w:rPr>
        <w:t xml:space="preserve">通过多功能表计、采集器与边缘引擎的连接，实现能耗数据的自动采集、台账化管理、远程监控与智能诊断。系统在本地完成数据的收集、存储和分析，为管理决策与双碳考核提供可审计的数据支撑。</w:t>
      </w:r>
    </w:p>
    <w:p>
      <w:pPr>
        <w:spacing w:after="120" w:line="320"/>
        <w:ind w:firstLine="504"/>
      </w:pPr>
      <w:r>
        <w:rPr>
          <w:rFonts w:ascii="Times New Roman" w:cs="Times New Roman" w:eastAsia="SimSun" w:hAnsi="Times New Roman"/>
          <w:color w:val="1E2832"/>
          <w:sz w:val="21"/>
          <w:szCs w:val="21"/>
        </w:rPr>
        <w:t xml:space="preserve">系统包括分项计量系统、能耗台账系统、分摊系统、费率与账单系统、指标与定额系统、基线与核证系统、碳资产管理系统、诊断与工单系统、边缘控制系统以及 AI Agent 能力，实现能耗数据在全业务流程中的闭环应用。</w:t>
      </w:r>
    </w:p>
    <w:p>
      <w:pPr>
        <w:pStyle w:val="Heading1"/>
        <w:spacing w:after="180" w:before="360"/>
      </w:pPr>
      <w:r>
        <w:rPr>
          <w:rFonts w:ascii="Arial" w:cs="Arial" w:eastAsia="Microsoft YaHei" w:hAnsi="Arial"/>
          <w:b/>
          <w:bCs/>
          <w:color w:val="0B5F77"/>
          <w:sz w:val="32"/>
          <w:szCs w:val="32"/>
        </w:rPr>
        <w:t xml:space="preserve">二、系统设计要求与设计依据</w:t>
      </w:r>
    </w:p>
    <w:p>
      <w:pPr>
        <w:pStyle w:val="Heading2"/>
        <w:spacing w:after="140" w:before="280"/>
      </w:pPr>
      <w:r>
        <w:rPr>
          <w:rFonts w:ascii="Arial" w:cs="Arial" w:eastAsia="Microsoft YaHei" w:hAnsi="Arial"/>
          <w:b/>
          <w:bCs/>
          <w:color w:val="1E2832"/>
          <w:sz w:val="26"/>
          <w:szCs w:val="26"/>
        </w:rPr>
        <w:t xml:space="preserve">2.1 设计依据</w:t>
      </w:r>
    </w:p>
    <w:p>
      <w:pPr>
        <w:spacing w:after="120" w:line="320"/>
        <w:ind w:firstLine="504"/>
      </w:pPr>
      <w:r>
        <w:rPr>
          <w:rFonts w:ascii="Times New Roman" w:cs="Times New Roman" w:eastAsia="SimSun" w:hAnsi="Times New Roman"/>
          <w:color w:val="1E2832"/>
          <w:sz w:val="21"/>
          <w:szCs w:val="21"/>
        </w:rPr>
        <w:t xml:space="preserve">《建筑节能与可再生能源利用通用规范》GB 55015-2021</w:t>
      </w:r>
    </w:p>
    <w:p>
      <w:pPr>
        <w:spacing w:after="120" w:line="320"/>
        <w:ind w:firstLine="504"/>
      </w:pPr>
      <w:r>
        <w:rPr>
          <w:rFonts w:ascii="Times New Roman" w:cs="Times New Roman" w:eastAsia="SimSun" w:hAnsi="Times New Roman"/>
          <w:color w:val="1E2832"/>
          <w:sz w:val="21"/>
          <w:szCs w:val="21"/>
        </w:rPr>
        <w:t xml:space="preserve">《民用建筑能耗标准》GB/T 51161-2016</w:t>
      </w:r>
    </w:p>
    <w:p>
      <w:pPr>
        <w:spacing w:after="120" w:line="320"/>
        <w:ind w:firstLine="504"/>
      </w:pPr>
      <w:r>
        <w:rPr>
          <w:rFonts w:ascii="Times New Roman" w:cs="Times New Roman" w:eastAsia="SimSun" w:hAnsi="Times New Roman"/>
          <w:color w:val="1E2832"/>
          <w:sz w:val="21"/>
          <w:szCs w:val="21"/>
        </w:rPr>
        <w:t xml:space="preserve">《用能单位能源计量器具配备和管理通则》GB 17167-2006</w:t>
      </w:r>
    </w:p>
    <w:p>
      <w:pPr>
        <w:spacing w:after="120" w:line="320"/>
        <w:ind w:firstLine="504"/>
      </w:pPr>
      <w:r>
        <w:rPr>
          <w:rFonts w:ascii="Times New Roman" w:cs="Times New Roman" w:eastAsia="SimSun" w:hAnsi="Times New Roman"/>
          <w:color w:val="1E2832"/>
          <w:sz w:val="21"/>
          <w:szCs w:val="21"/>
        </w:rPr>
        <w:t xml:space="preserve">《国家机关办公建筑和大型公共建筑能耗监测系统分项能耗数据采集技术导则》</w:t>
      </w:r>
    </w:p>
    <w:p>
      <w:pPr>
        <w:spacing w:after="120" w:line="320"/>
        <w:ind w:firstLine="504"/>
      </w:pPr>
      <w:r>
        <w:rPr>
          <w:rFonts w:ascii="Times New Roman" w:cs="Times New Roman" w:eastAsia="SimSun" w:hAnsi="Times New Roman"/>
          <w:color w:val="1E2832"/>
          <w:sz w:val="21"/>
          <w:szCs w:val="21"/>
        </w:rPr>
        <w:t xml:space="preserve">《民用建筑电气设计规范》GB 51348-2019</w:t>
      </w:r>
    </w:p>
    <w:p>
      <w:pPr>
        <w:spacing w:after="120" w:line="320"/>
        <w:ind w:firstLine="504"/>
      </w:pPr>
      <w:r>
        <w:rPr>
          <w:rFonts w:ascii="Times New Roman" w:cs="Times New Roman" w:eastAsia="SimSun" w:hAnsi="Times New Roman"/>
          <w:color w:val="1E2832"/>
          <w:sz w:val="21"/>
          <w:szCs w:val="21"/>
        </w:rPr>
        <w:t xml:space="preserve">《智能建筑设计标准》GB 50314-2015</w:t>
      </w:r>
    </w:p>
    <w:p>
      <w:pPr>
        <w:spacing w:after="120" w:line="320"/>
        <w:ind w:firstLine="504"/>
      </w:pPr>
      <w:r>
        <w:rPr>
          <w:rFonts w:ascii="Times New Roman" w:cs="Times New Roman" w:eastAsia="SimSun" w:hAnsi="Times New Roman"/>
          <w:color w:val="1E2832"/>
          <w:sz w:val="21"/>
          <w:szCs w:val="21"/>
        </w:rPr>
        <w:t xml:space="preserve">《建筑节能设计标准》GB 50189</w:t>
      </w:r>
    </w:p>
    <w:p>
      <w:pPr>
        <w:spacing w:after="120" w:line="320"/>
        <w:ind w:firstLine="504"/>
      </w:pPr>
      <w:r>
        <w:rPr>
          <w:rFonts w:ascii="Times New Roman" w:cs="Times New Roman" w:eastAsia="SimSun" w:hAnsi="Times New Roman"/>
          <w:color w:val="1E2832"/>
          <w:sz w:val="21"/>
          <w:szCs w:val="21"/>
        </w:rPr>
        <w:t xml:space="preserve">《供配电系统设计规范》GB 50052-2009</w:t>
      </w:r>
    </w:p>
    <w:p>
      <w:pPr>
        <w:spacing w:after="120" w:line="320"/>
        <w:ind w:firstLine="504"/>
      </w:pPr>
      <w:r>
        <w:rPr>
          <w:rFonts w:ascii="Times New Roman" w:cs="Times New Roman" w:eastAsia="SimSun" w:hAnsi="Times New Roman"/>
          <w:color w:val="1E2832"/>
          <w:sz w:val="21"/>
          <w:szCs w:val="21"/>
        </w:rPr>
        <w:t xml:space="preserve">《建筑电气工程施工质量验收规范》GB 50303-2015</w:t>
      </w:r>
    </w:p>
    <w:p>
      <w:pPr>
        <w:spacing w:after="120" w:line="320"/>
        <w:ind w:firstLine="504"/>
      </w:pPr>
      <w:r>
        <w:rPr>
          <w:rFonts w:ascii="Times New Roman" w:cs="Times New Roman" w:eastAsia="SimSun" w:hAnsi="Times New Roman"/>
          <w:color w:val="1E2832"/>
          <w:sz w:val="21"/>
          <w:szCs w:val="21"/>
        </w:rPr>
        <w:t xml:space="preserve">《综合布线系统工程设计规范》GB 50311-2016</w:t>
      </w:r>
    </w:p>
    <w:p>
      <w:pPr>
        <w:spacing w:after="120" w:line="320"/>
        <w:ind w:firstLine="504"/>
      </w:pPr>
      <w:r>
        <w:rPr>
          <w:rFonts w:ascii="Times New Roman" w:cs="Times New Roman" w:eastAsia="SimSun" w:hAnsi="Times New Roman"/>
          <w:color w:val="1E2832"/>
          <w:sz w:val="21"/>
          <w:szCs w:val="21"/>
        </w:rPr>
        <w:t xml:space="preserve">ASHRAE Guideline 14 Measurement of Energy, Demand, and Water Savings</w:t>
      </w:r>
    </w:p>
    <w:p>
      <w:pPr>
        <w:spacing w:after="120" w:line="320"/>
        <w:ind w:firstLine="504"/>
      </w:pPr>
      <w:r>
        <w:rPr>
          <w:rFonts w:ascii="Times New Roman" w:cs="Times New Roman" w:eastAsia="SimSun" w:hAnsi="Times New Roman"/>
          <w:color w:val="1E2832"/>
          <w:sz w:val="21"/>
          <w:szCs w:val="21"/>
        </w:rPr>
        <w:t xml:space="preserve">IPMVP 国际节能效果测量与验证规程</w:t>
      </w:r>
    </w:p>
    <w:p>
      <w:pPr>
        <w:spacing w:after="120" w:line="320"/>
        <w:ind w:firstLine="504"/>
      </w:pPr>
      <w:r>
        <w:rPr>
          <w:rFonts w:ascii="Times New Roman" w:cs="Times New Roman" w:eastAsia="SimSun" w:hAnsi="Times New Roman"/>
          <w:color w:val="1E2832"/>
          <w:sz w:val="21"/>
          <w:szCs w:val="21"/>
        </w:rPr>
        <w:t xml:space="preserve">相关专业提供的工程设计资料</w:t>
      </w:r>
    </w:p>
    <w:p>
      <w:pPr>
        <w:pStyle w:val="Heading1"/>
        <w:spacing w:after="180" w:before="360"/>
      </w:pPr>
      <w:r>
        <w:rPr>
          <w:rFonts w:ascii="Arial" w:cs="Arial" w:eastAsia="Microsoft YaHei" w:hAnsi="Arial"/>
          <w:b/>
          <w:bCs/>
          <w:color w:val="0B5F77"/>
          <w:sz w:val="32"/>
          <w:szCs w:val="32"/>
        </w:rPr>
        <w:t xml:space="preserve">三、子系统设计</w:t>
      </w:r>
    </w:p>
    <w:p>
      <w:pPr>
        <w:pStyle w:val="Heading2"/>
        <w:spacing w:after="140" w:before="280"/>
      </w:pPr>
      <w:r>
        <w:rPr>
          <w:rFonts w:ascii="Arial" w:cs="Arial" w:eastAsia="Microsoft YaHei" w:hAnsi="Arial"/>
          <w:b/>
          <w:bCs/>
          <w:color w:val="1E2832"/>
          <w:sz w:val="26"/>
          <w:szCs w:val="26"/>
        </w:rPr>
        <w:t xml:space="preserve">3.1 分项计量系统</w:t>
      </w:r>
    </w:p>
    <w:p>
      <w:pPr>
        <w:spacing w:after="120" w:line="320"/>
        <w:ind w:firstLine="504"/>
      </w:pPr>
      <w:r>
        <w:rPr>
          <w:rFonts w:ascii="Times New Roman" w:cs="Times New Roman" w:eastAsia="SimSun" w:hAnsi="Times New Roman"/>
          <w:color w:val="1E2832"/>
          <w:sz w:val="21"/>
          <w:szCs w:val="21"/>
        </w:rPr>
        <w:t xml:space="preserve">3.1.1 本系统依据《分项能耗数据采集技术导则》将用电划分为 A 照明插座、B 空调用电、C 动力用电、D 特殊用电四类共 14 个分项；水、气、冷、热按介质分别建账。</w:t>
      </w:r>
    </w:p>
    <w:p>
      <w:pPr>
        <w:spacing w:after="120" w:line="320"/>
        <w:ind w:firstLine="504"/>
      </w:pPr>
      <w:r>
        <w:rPr>
          <w:rFonts w:ascii="Times New Roman" w:cs="Times New Roman" w:eastAsia="SimSun" w:hAnsi="Times New Roman"/>
          <w:color w:val="1E2832"/>
          <w:sz w:val="21"/>
          <w:szCs w:val="21"/>
        </w:rPr>
        <w:t xml:space="preserve">3.1.2 计量树采用同介质有向无环图（DAG）：关口表 → 分项表 → 楼层 / 租户子表；系统自动进行环检测（就地剪断）、跨介质挂接拒绝与悬挂父引用校验。</w:t>
      </w:r>
    </w:p>
    <w:p>
      <w:pPr>
        <w:spacing w:after="120" w:line="320"/>
        <w:ind w:firstLine="504"/>
      </w:pPr>
      <w:r>
        <w:rPr>
          <w:rFonts w:ascii="Times New Roman" w:cs="Times New Roman" w:eastAsia="SimSun" w:hAnsi="Times New Roman"/>
          <w:color w:val="1E2832"/>
          <w:sz w:val="21"/>
          <w:szCs w:val="21"/>
        </w:rPr>
        <w:t xml:space="preserve">3.1.3 考核表用于校核而不参与汇总，防止重复计量；缺口表（总表与各分表之和的差值，即不明用能）单独归集呈现，不参与汇总，缺口率超阈值（默认 5%）自动阻断月度关账。</w:t>
      </w:r>
    </w:p>
    <w:p>
      <w:pPr>
        <w:spacing w:after="120" w:line="320"/>
        <w:ind w:firstLine="504"/>
      </w:pPr>
      <w:r>
        <w:rPr>
          <w:rFonts w:ascii="Times New Roman" w:cs="Times New Roman" w:eastAsia="SimSun" w:hAnsi="Times New Roman"/>
          <w:color w:val="1E2832"/>
          <w:sz w:val="21"/>
          <w:szCs w:val="21"/>
        </w:rPr>
        <w:t xml:space="preserve">3.1.4 表底翻转、换表与互感器变比由系统自动补偿：L1 累积读数直采禁改，L2 区间增量由差分生成，含溢出与换表补偿。</w:t>
      </w:r>
    </w:p>
    <w:p>
      <w:pPr>
        <w:spacing w:after="120" w:line="320"/>
        <w:ind w:firstLine="504"/>
      </w:pPr>
      <w:r>
        <w:rPr>
          <w:rFonts w:ascii="Times New Roman" w:cs="Times New Roman" w:eastAsia="SimSun" w:hAnsi="Times New Roman"/>
          <w:color w:val="1E2832"/>
          <w:sz w:val="21"/>
          <w:szCs w:val="21"/>
        </w:rPr>
        <w:t xml:space="preserve">3.1.5 虚拟表与物理表同构：由 Axon 公式求值（8 层深度守卫防循环引用），上层业务无需区分表计实现方式。</w:t>
      </w:r>
    </w:p>
    <w:p>
      <w:pPr>
        <w:pStyle w:val="Heading2"/>
        <w:spacing w:after="140" w:before="280"/>
      </w:pPr>
      <w:r>
        <w:rPr>
          <w:rFonts w:ascii="Arial" w:cs="Arial" w:eastAsia="Microsoft YaHei" w:hAnsi="Arial"/>
          <w:b/>
          <w:bCs/>
          <w:color w:val="1E2832"/>
          <w:sz w:val="26"/>
          <w:szCs w:val="26"/>
        </w:rPr>
        <w:t xml:space="preserve">3.2 能耗台账系统</w:t>
      </w:r>
    </w:p>
    <w:p>
      <w:pPr>
        <w:spacing w:after="120" w:line="320"/>
        <w:ind w:firstLine="504"/>
      </w:pPr>
      <w:r>
        <w:rPr>
          <w:rFonts w:ascii="Times New Roman" w:cs="Times New Roman" w:eastAsia="SimSun" w:hAnsi="Times New Roman"/>
          <w:color w:val="1E2832"/>
          <w:sz w:val="21"/>
          <w:szCs w:val="21"/>
        </w:rPr>
        <w:t xml:space="preserve">3.2.1 台账（EmLedgerEntry）是对象层与业务层之间唯一的数据通道；账单、碳账、指标全部从台账投影，可无损重算。</w:t>
      </w:r>
    </w:p>
    <w:p>
      <w:pPr>
        <w:spacing w:after="120" w:line="320"/>
        <w:ind w:firstLine="504"/>
      </w:pPr>
      <w:r>
        <w:rPr>
          <w:rFonts w:ascii="Times New Roman" w:cs="Times New Roman" w:eastAsia="SimSun" w:hAnsi="Times New Roman"/>
          <w:color w:val="1E2832"/>
          <w:sz w:val="21"/>
          <w:szCs w:val="21"/>
        </w:rPr>
        <w:t xml:space="preserve">3.2.2 台账默认按日（daily）落库，支持 hourly / weekly / monthly 四种粒度；关账后台账不可变，修正一律走红冲（EmReversal），保留完整修正链。</w:t>
      </w:r>
    </w:p>
    <w:p>
      <w:pPr>
        <w:spacing w:after="120" w:line="320"/>
        <w:ind w:firstLine="504"/>
      </w:pPr>
      <w:r>
        <w:rPr>
          <w:rFonts w:ascii="Times New Roman" w:cs="Times New Roman" w:eastAsia="SimSun" w:hAnsi="Times New Roman"/>
          <w:color w:val="1E2832"/>
          <w:sz w:val="21"/>
          <w:szCs w:val="21"/>
        </w:rPr>
        <w:t xml:space="preserve">3.2.3 关账前执行预检：缺口率闸门、未平衡表计清单逐项列出；预检不通过不得关账。</w:t>
      </w:r>
    </w:p>
    <w:p>
      <w:pPr>
        <w:spacing w:after="120" w:line="320"/>
        <w:ind w:firstLine="504"/>
      </w:pPr>
      <w:r>
        <w:rPr>
          <w:rFonts w:ascii="Times New Roman" w:cs="Times New Roman" w:eastAsia="SimSun" w:hAnsi="Times New Roman"/>
          <w:color w:val="1E2832"/>
          <w:sz w:val="21"/>
          <w:szCs w:val="21"/>
        </w:rPr>
        <w:t xml:space="preserve">3.2.4 每条台账数值必带数据来源标记（实测 / 推导 / 分摊 / 估算 / 人工录入），可结算口径一屏呈现。</w:t>
      </w:r>
    </w:p>
    <w:p>
      <w:pPr>
        <w:pStyle w:val="Heading2"/>
        <w:spacing w:after="140" w:before="280"/>
      </w:pPr>
      <w:r>
        <w:rPr>
          <w:rFonts w:ascii="Arial" w:cs="Arial" w:eastAsia="Microsoft YaHei" w:hAnsi="Arial"/>
          <w:b/>
          <w:bCs/>
          <w:color w:val="1E2832"/>
          <w:sz w:val="26"/>
          <w:szCs w:val="26"/>
        </w:rPr>
        <w:t xml:space="preserve">3.3 分摊系统</w:t>
      </w:r>
    </w:p>
    <w:p>
      <w:pPr>
        <w:spacing w:after="120" w:line="320"/>
        <w:ind w:firstLine="504"/>
      </w:pPr>
      <w:r>
        <w:rPr>
          <w:rFonts w:ascii="Times New Roman" w:cs="Times New Roman" w:eastAsia="SimSun" w:hAnsi="Times New Roman"/>
          <w:color w:val="1E2832"/>
          <w:sz w:val="21"/>
          <w:szCs w:val="21"/>
        </w:rPr>
        <w:t xml:space="preserve">3.3.1 分摊规则支持版本化加载、排序与校验；无独立计量的回路按规则从上级量分配，分摊结果带 allocated 来源标记。</w:t>
      </w:r>
    </w:p>
    <w:p>
      <w:pPr>
        <w:spacing w:after="120" w:line="320"/>
        <w:ind w:firstLine="504"/>
      </w:pPr>
      <w:r>
        <w:rPr>
          <w:rFonts w:ascii="Times New Roman" w:cs="Times New Roman" w:eastAsia="SimSun" w:hAnsi="Times New Roman"/>
          <w:color w:val="1E2832"/>
          <w:sz w:val="21"/>
          <w:szCs w:val="21"/>
        </w:rPr>
        <w:t xml:space="preserve">3.3.2 分摊方法覆盖面积法、定额法、计量比例法、额定功率时长法等常用口径，规则参数必填来源文件。</w:t>
      </w:r>
    </w:p>
    <w:p>
      <w:pPr>
        <w:pStyle w:val="Heading2"/>
        <w:spacing w:after="140" w:before="280"/>
      </w:pPr>
      <w:r>
        <w:rPr>
          <w:rFonts w:ascii="Arial" w:cs="Arial" w:eastAsia="Microsoft YaHei" w:hAnsi="Arial"/>
          <w:b/>
          <w:bCs/>
          <w:color w:val="1E2832"/>
          <w:sz w:val="26"/>
          <w:szCs w:val="26"/>
        </w:rPr>
        <w:t xml:space="preserve">3.4 费率与账单系统</w:t>
      </w:r>
    </w:p>
    <w:p>
      <w:pPr>
        <w:spacing w:after="120" w:line="320"/>
        <w:ind w:firstLine="504"/>
      </w:pPr>
      <w:r>
        <w:rPr>
          <w:rFonts w:ascii="Times New Roman" w:cs="Times New Roman" w:eastAsia="SimSun" w:hAnsi="Times New Roman"/>
          <w:color w:val="1E2832"/>
          <w:sz w:val="21"/>
          <w:szCs w:val="21"/>
        </w:rPr>
        <w:t xml:space="preserve">3.4.1 费率方案版本化管理，支持单一制、两部制（含需量 / 容量）与分时电价（尖峰平谷）解析。</w:t>
      </w:r>
    </w:p>
    <w:p>
      <w:pPr>
        <w:spacing w:after="120" w:line="320"/>
        <w:ind w:firstLine="504"/>
      </w:pPr>
      <w:r>
        <w:rPr>
          <w:rFonts w:ascii="Times New Roman" w:cs="Times New Roman" w:eastAsia="SimSun" w:hAnsi="Times New Roman"/>
          <w:color w:val="1E2832"/>
          <w:sz w:val="21"/>
          <w:szCs w:val="21"/>
        </w:rPr>
        <w:t xml:space="preserve">3.4.2 租户账单每个账单项逐笔指向来源台账条目（ledgerRefs），可回溯到表计与点位；最大需量逼近申报值时提前预警，避免超需量加价。</w:t>
      </w:r>
    </w:p>
    <w:p>
      <w:pPr>
        <w:pStyle w:val="Heading2"/>
        <w:spacing w:after="140" w:before="280"/>
      </w:pPr>
      <w:r>
        <w:rPr>
          <w:rFonts w:ascii="Arial" w:cs="Arial" w:eastAsia="Microsoft YaHei" w:hAnsi="Arial"/>
          <w:b/>
          <w:bCs/>
          <w:color w:val="1E2832"/>
          <w:sz w:val="26"/>
          <w:szCs w:val="26"/>
        </w:rPr>
        <w:t xml:space="preserve">3.5 指标与定额系统</w:t>
      </w:r>
    </w:p>
    <w:p>
      <w:pPr>
        <w:spacing w:after="120" w:line="320"/>
        <w:ind w:firstLine="504"/>
      </w:pPr>
      <w:r>
        <w:rPr>
          <w:rFonts w:ascii="Times New Roman" w:cs="Times New Roman" w:eastAsia="SimSun" w:hAnsi="Times New Roman"/>
          <w:color w:val="1E2832"/>
          <w:sz w:val="21"/>
          <w:szCs w:val="21"/>
        </w:rPr>
        <w:t xml:space="preserve">3.5.1 指标定义与时序实例分离：EmKpi 可版本化并复用到任意对象，公式为 Axon 表达式；支持批量指标求值与排名。</w:t>
      </w:r>
    </w:p>
    <w:p>
      <w:pPr>
        <w:spacing w:after="120" w:line="320"/>
        <w:ind w:firstLine="504"/>
      </w:pPr>
      <w:r>
        <w:rPr>
          <w:rFonts w:ascii="Times New Roman" w:cs="Times New Roman" w:eastAsia="SimSun" w:hAnsi="Times New Roman"/>
          <w:color w:val="1E2832"/>
          <w:sz w:val="21"/>
          <w:szCs w:val="21"/>
        </w:rPr>
        <w:t xml:space="preserve">3.5.2 定额（EmQuota）记录限额与来源（政府下达 / 集团分解 / 历史基准），按考核期给出执行进度与超前 / 滞后动作建议。</w:t>
      </w:r>
    </w:p>
    <w:p>
      <w:pPr>
        <w:spacing w:after="120" w:line="320"/>
        <w:ind w:firstLine="504"/>
      </w:pPr>
      <w:r>
        <w:rPr>
          <w:rFonts w:ascii="Times New Roman" w:cs="Times New Roman" w:eastAsia="SimSun" w:hAnsi="Times New Roman"/>
          <w:color w:val="1E2832"/>
          <w:sz w:val="21"/>
          <w:szCs w:val="21"/>
        </w:rPr>
        <w:t xml:space="preserve">3.5.3 EUI 对标挂接 GB 55015-2021 约束值与 GB/T 51161-2016 引导值，按气候区与业态自动选取。</w:t>
      </w:r>
    </w:p>
    <w:p>
      <w:pPr>
        <w:pStyle w:val="Heading2"/>
        <w:spacing w:after="140" w:before="280"/>
      </w:pPr>
      <w:r>
        <w:rPr>
          <w:rFonts w:ascii="Arial" w:cs="Arial" w:eastAsia="Microsoft YaHei" w:hAnsi="Arial"/>
          <w:b/>
          <w:bCs/>
          <w:color w:val="1E2832"/>
          <w:sz w:val="26"/>
          <w:szCs w:val="26"/>
        </w:rPr>
        <w:t xml:space="preserve">3.6 基线与核证系统</w:t>
      </w:r>
    </w:p>
    <w:p>
      <w:pPr>
        <w:spacing w:after="120" w:line="320"/>
        <w:ind w:firstLine="504"/>
      </w:pPr>
      <w:r>
        <w:rPr>
          <w:rFonts w:ascii="Times New Roman" w:cs="Times New Roman" w:eastAsia="SimSun" w:hAnsi="Times New Roman"/>
          <w:color w:val="1E2832"/>
          <w:sz w:val="21"/>
          <w:szCs w:val="21"/>
        </w:rPr>
        <w:t xml:space="preserve">3.6.1 节能项目基线模型按 ASHRAE Guideline 14 月度判据进行统计验收；支持 IPMVP Option C 整体计量回归。</w:t>
      </w:r>
    </w:p>
    <w:p>
      <w:pPr>
        <w:spacing w:after="120" w:line="320"/>
        <w:ind w:firstLine="504"/>
      </w:pPr>
      <w:r>
        <w:rPr>
          <w:rFonts w:ascii="Times New Roman" w:cs="Times New Roman" w:eastAsia="SimSun" w:hAnsi="Times New Roman"/>
          <w:color w:val="1E2832"/>
          <w:sz w:val="21"/>
          <w:szCs w:val="21"/>
        </w:rPr>
        <w:t xml:space="preserve">3.6.2 未通过基线核证的节能量一律为 planned，禁止以 verified 对外；通过验收的项目方可转 verified。</w:t>
      </w:r>
    </w:p>
    <w:p>
      <w:pPr>
        <w:pStyle w:val="Heading2"/>
        <w:spacing w:after="140" w:before="280"/>
      </w:pPr>
      <w:r>
        <w:rPr>
          <w:rFonts w:ascii="Arial" w:cs="Arial" w:eastAsia="Microsoft YaHei" w:hAnsi="Arial"/>
          <w:b/>
          <w:bCs/>
          <w:color w:val="1E2832"/>
          <w:sz w:val="26"/>
          <w:szCs w:val="26"/>
        </w:rPr>
        <w:t xml:space="preserve">3.7 碳资产管理系统</w:t>
      </w:r>
    </w:p>
    <w:p>
      <w:pPr>
        <w:spacing w:after="120" w:line="320"/>
        <w:ind w:firstLine="504"/>
      </w:pPr>
      <w:r>
        <w:rPr>
          <w:rFonts w:ascii="Times New Roman" w:cs="Times New Roman" w:eastAsia="SimSun" w:hAnsi="Times New Roman"/>
          <w:color w:val="1E2832"/>
          <w:sz w:val="21"/>
          <w:szCs w:val="21"/>
        </w:rPr>
        <w:t xml:space="preserve">3.7.1 排放因子版本化管理，每条因子必填来源文件；因子换版即锁定旧版快照，历史碳账不漂移、可全量重算。</w:t>
      </w:r>
    </w:p>
    <w:p>
      <w:pPr>
        <w:spacing w:after="120" w:line="320"/>
        <w:ind w:firstLine="504"/>
      </w:pPr>
      <w:r>
        <w:rPr>
          <w:rFonts w:ascii="Times New Roman" w:cs="Times New Roman" w:eastAsia="SimSun" w:hAnsi="Times New Roman"/>
          <w:color w:val="1E2832"/>
          <w:sz w:val="21"/>
          <w:szCs w:val="21"/>
        </w:rPr>
        <w:t xml:space="preserve">3.7.2 Scope 1 / 2 / 3 分别归集；因子单位分母与台账用量单位不一致时直接报错，拒绝口径错配。</w:t>
      </w:r>
    </w:p>
    <w:p>
      <w:pPr>
        <w:spacing w:after="120" w:line="320"/>
        <w:ind w:firstLine="504"/>
      </w:pPr>
      <w:r>
        <w:rPr>
          <w:rFonts w:ascii="Times New Roman" w:cs="Times New Roman" w:eastAsia="SimSun" w:hAnsi="Times New Roman"/>
          <w:color w:val="1E2832"/>
          <w:sz w:val="21"/>
          <w:szCs w:val="21"/>
        </w:rPr>
        <w:t xml:space="preserve">3.7.3 绿电 / 绿证抵消仅计入已注销核销（emRetired）的证书；碳目标（总量或强度口径）进度自动跟踪；折标煤合计一屏呈现，未配置系数的介质明示“未计入”。</w:t>
      </w:r>
    </w:p>
    <w:p>
      <w:pPr>
        <w:pStyle w:val="Heading2"/>
        <w:spacing w:after="140" w:before="280"/>
      </w:pPr>
      <w:r>
        <w:rPr>
          <w:rFonts w:ascii="Arial" w:cs="Arial" w:eastAsia="Microsoft YaHei" w:hAnsi="Arial"/>
          <w:b/>
          <w:bCs/>
          <w:color w:val="1E2832"/>
          <w:sz w:val="26"/>
          <w:szCs w:val="26"/>
        </w:rPr>
        <w:t xml:space="preserve">3.8 诊断与工单系统</w:t>
      </w:r>
    </w:p>
    <w:p>
      <w:pPr>
        <w:spacing w:after="120" w:line="320"/>
        <w:ind w:firstLine="504"/>
      </w:pPr>
      <w:r>
        <w:rPr>
          <w:rFonts w:ascii="Times New Roman" w:cs="Times New Roman" w:eastAsia="SimSun" w:hAnsi="Times New Roman"/>
          <w:color w:val="1E2832"/>
          <w:sz w:val="21"/>
          <w:szCs w:val="21"/>
        </w:rPr>
        <w:t xml:space="preserve">3.8.1 诊断规则引擎持续评估台账数据质量与平衡校核；同规则、同对象、同账期幂等创建，不重复告警；未实现判据明示跳过，不谎报。</w:t>
      </w:r>
    </w:p>
    <w:p>
      <w:pPr>
        <w:spacing w:after="120" w:line="320"/>
        <w:ind w:firstLine="504"/>
      </w:pPr>
      <w:r>
        <w:rPr>
          <w:rFonts w:ascii="Times New Roman" w:cs="Times New Roman" w:eastAsia="SimSun" w:hAnsi="Times New Roman"/>
          <w:color w:val="1E2832"/>
          <w:sz w:val="21"/>
          <w:szCs w:val="21"/>
        </w:rPr>
        <w:t xml:space="preserve">3.8.2 诊断只产生异常，不直写控制点；异常经值班确认后方可升级为工单。</w:t>
      </w:r>
    </w:p>
    <w:p>
      <w:pPr>
        <w:spacing w:after="120" w:line="320"/>
        <w:ind w:firstLine="504"/>
      </w:pPr>
      <w:r>
        <w:rPr>
          <w:rFonts w:ascii="Times New Roman" w:cs="Times New Roman" w:eastAsia="SimSun" w:hAnsi="Times New Roman"/>
          <w:color w:val="1E2832"/>
          <w:sz w:val="21"/>
          <w:szCs w:val="21"/>
        </w:rPr>
        <w:t xml:space="preserve">3.8.3 工单状态前向单向流转（new → assigned → inProgress → done → closed），每次流转留痕；一张工单可合并多条同源异常；形成长期措施的工单挂接节能项目走核证闭环。</w:t>
      </w:r>
    </w:p>
    <w:p>
      <w:pPr>
        <w:pStyle w:val="Heading2"/>
        <w:spacing w:after="140" w:before="280"/>
      </w:pPr>
      <w:r>
        <w:rPr>
          <w:rFonts w:ascii="Arial" w:cs="Arial" w:eastAsia="Microsoft YaHei" w:hAnsi="Arial"/>
          <w:b/>
          <w:bCs/>
          <w:color w:val="1E2832"/>
          <w:sz w:val="26"/>
          <w:szCs w:val="26"/>
        </w:rPr>
        <w:t xml:space="preserve">3.9 边缘控制器</w:t>
      </w:r>
    </w:p>
    <w:p>
      <w:pPr>
        <w:spacing w:after="120" w:line="320"/>
        <w:ind w:firstLine="504"/>
      </w:pPr>
      <w:r>
        <w:rPr>
          <w:rFonts w:ascii="Times New Roman" w:cs="Times New Roman" w:eastAsia="SimSun" w:hAnsi="Times New Roman"/>
          <w:color w:val="1E2832"/>
          <w:sz w:val="21"/>
          <w:szCs w:val="21"/>
        </w:rPr>
        <w:t xml:space="preserve">3.9.1 边缘控制器支持 BACnet UDP/IP、Modbus RTU、Modbus TCP/IP、KNX IP、M-Bus、MQTT、Haystack over RESTful API、OPC UA、oBix、Sedona 与 SQL 等协议。</w:t>
      </w:r>
    </w:p>
    <w:p>
      <w:pPr>
        <w:spacing w:after="120" w:line="320"/>
        <w:ind w:firstLine="504"/>
      </w:pPr>
      <w:r>
        <w:rPr>
          <w:rFonts w:ascii="Times New Roman" w:cs="Times New Roman" w:eastAsia="SimSun" w:hAnsi="Times New Roman"/>
          <w:color w:val="1E2832"/>
          <w:sz w:val="21"/>
          <w:szCs w:val="21"/>
        </w:rPr>
        <w:t xml:space="preserve">3.9.2 中小型项目可将系统部署在嵌入式边缘控制器（F200 / NEXIO）中，无需额外服务器；断网时站点自治运行，恢复后自动续传。</w:t>
      </w:r>
    </w:p>
    <w:p>
      <w:pPr>
        <w:spacing w:after="120" w:line="320"/>
        <w:ind w:firstLine="504"/>
      </w:pPr>
      <w:r>
        <w:rPr>
          <w:rFonts w:ascii="Times New Roman" w:cs="Times New Roman" w:eastAsia="SimSun" w:hAnsi="Times New Roman"/>
          <w:color w:val="1E2832"/>
          <w:sz w:val="21"/>
          <w:szCs w:val="21"/>
        </w:rPr>
        <w:t xml:space="preserve">3.9.3 完全基于网页浏览器（Chrome / Edge）进行工程调试：组态画图、时间表、历史存储、诊断规则配置等。</w:t>
      </w:r>
    </w:p>
    <w:p>
      <w:pPr>
        <w:pStyle w:val="Heading2"/>
        <w:spacing w:after="140" w:before="280"/>
      </w:pPr>
      <w:r>
        <w:rPr>
          <w:rFonts w:ascii="Arial" w:cs="Arial" w:eastAsia="Microsoft YaHei" w:hAnsi="Arial"/>
          <w:b/>
          <w:bCs/>
          <w:color w:val="1E2832"/>
          <w:sz w:val="26"/>
          <w:szCs w:val="26"/>
        </w:rPr>
        <w:t xml:space="preserve">3.10 AI Agent</w:t>
      </w:r>
    </w:p>
    <w:p>
      <w:pPr>
        <w:spacing w:after="120" w:line="320"/>
        <w:ind w:firstLine="504"/>
      </w:pPr>
      <w:r>
        <w:rPr>
          <w:rFonts w:ascii="Times New Roman" w:cs="Times New Roman" w:eastAsia="SimSun" w:hAnsi="Times New Roman"/>
          <w:color w:val="1E2832"/>
          <w:sz w:val="21"/>
          <w:szCs w:val="21"/>
        </w:rPr>
        <w:t xml:space="preserve">基于 FIN Framework 语义标签技术和大模型技术，提供 AI 智能体读写楼宇设备参数或 Haystack 数据库数据的基础设施与能力。采用标准 OpenAI API 接口，支持图像和自然语言访问，支持本地知识库，降低智能体间交流的复杂度；支持本地或云端大模型，数据不出项目内网。</w:t>
      </w:r>
    </w:p>
    <w:p>
      <w:pPr>
        <w:pStyle w:val="Heading1"/>
        <w:spacing w:after="180" w:before="360"/>
      </w:pPr>
      <w:r>
        <w:rPr>
          <w:rFonts w:ascii="Arial" w:cs="Arial" w:eastAsia="Microsoft YaHei" w:hAnsi="Arial"/>
          <w:b/>
          <w:bCs/>
          <w:color w:val="0B5F77"/>
          <w:sz w:val="32"/>
          <w:szCs w:val="32"/>
        </w:rPr>
        <w:t xml:space="preserve">四、系统架构设计</w:t>
      </w:r>
    </w:p>
    <w:p>
      <w:pPr>
        <w:pStyle w:val="Heading2"/>
        <w:spacing w:after="140" w:before="280"/>
      </w:pPr>
      <w:r>
        <w:rPr>
          <w:rFonts w:ascii="Arial" w:cs="Arial" w:eastAsia="Microsoft YaHei" w:hAnsi="Arial"/>
          <w:b/>
          <w:bCs/>
          <w:color w:val="1E2832"/>
          <w:sz w:val="26"/>
          <w:szCs w:val="26"/>
        </w:rPr>
        <w:t xml:space="preserve">4.1 设备层</w:t>
      </w:r>
    </w:p>
    <w:p>
      <w:pPr>
        <w:spacing w:after="120" w:line="320"/>
        <w:ind w:firstLine="504"/>
      </w:pPr>
      <w:r>
        <w:rPr>
          <w:rFonts w:ascii="Times New Roman" w:cs="Times New Roman" w:eastAsia="SimSun" w:hAnsi="Times New Roman"/>
          <w:color w:val="1E2832"/>
          <w:sz w:val="21"/>
          <w:szCs w:val="21"/>
        </w:rPr>
        <w:t xml:space="preserve">设备层主要分为计量设备、采集设备与供能产储设施：</w:t>
      </w:r>
    </w:p>
    <w:p>
      <w:pPr>
        <w:spacing w:after="120" w:line="320"/>
        <w:ind w:firstLine="504"/>
      </w:pPr>
      <w:r>
        <w:rPr>
          <w:rFonts w:ascii="Times New Roman" w:cs="Times New Roman" w:eastAsia="SimSun" w:hAnsi="Times New Roman"/>
          <w:color w:val="1E2832"/>
          <w:sz w:val="21"/>
          <w:szCs w:val="21"/>
        </w:rPr>
        <w:t xml:space="preserve">（1）计量设备：关口多功能电表、分项与子项导轨式电表、智能水表、智能燃气表、超声波冷热量表、计量型智能插座。</w:t>
      </w:r>
    </w:p>
    <w:p>
      <w:pPr>
        <w:spacing w:after="120" w:line="320"/>
        <w:ind w:firstLine="504"/>
      </w:pPr>
      <w:r>
        <w:rPr>
          <w:rFonts w:ascii="Times New Roman" w:cs="Times New Roman" w:eastAsia="SimSun" w:hAnsi="Times New Roman"/>
          <w:color w:val="1E2832"/>
          <w:sz w:val="21"/>
          <w:szCs w:val="21"/>
        </w:rPr>
        <w:t xml:space="preserve">（2）采集设备：Modbus 网关 / 采集器、M-Bus 采集器、4G DTU，将总线数据经有线网络回传边缘控制器。</w:t>
      </w:r>
    </w:p>
    <w:p>
      <w:pPr>
        <w:spacing w:after="120" w:line="320"/>
        <w:ind w:firstLine="504"/>
      </w:pPr>
      <w:r>
        <w:rPr>
          <w:rFonts w:ascii="Times New Roman" w:cs="Times New Roman" w:eastAsia="SimSun" w:hAnsi="Times New Roman"/>
          <w:color w:val="1E2832"/>
          <w:sz w:val="21"/>
          <w:szCs w:val="21"/>
        </w:rPr>
        <w:t xml:space="preserve">（3）供能产储设施：市政关口、变配电、光伏、储能、充电桩，按与用能侧一致的计量模型挂表建账。</w:t>
      </w:r>
    </w:p>
    <w:p>
      <w:pPr>
        <w:pStyle w:val="Heading2"/>
        <w:spacing w:after="140" w:before="280"/>
      </w:pPr>
      <w:r>
        <w:rPr>
          <w:rFonts w:ascii="Arial" w:cs="Arial" w:eastAsia="Microsoft YaHei" w:hAnsi="Arial"/>
          <w:b/>
          <w:bCs/>
          <w:color w:val="1E2832"/>
          <w:sz w:val="26"/>
          <w:szCs w:val="26"/>
        </w:rPr>
        <w:t xml:space="preserve">4.2 网络层</w:t>
      </w:r>
    </w:p>
    <w:p>
      <w:pPr>
        <w:spacing w:after="120" w:line="320"/>
        <w:ind w:firstLine="504"/>
      </w:pPr>
      <w:r>
        <w:rPr>
          <w:rFonts w:ascii="Times New Roman" w:cs="Times New Roman" w:eastAsia="SimSun" w:hAnsi="Times New Roman"/>
          <w:color w:val="1E2832"/>
          <w:sz w:val="21"/>
          <w:szCs w:val="21"/>
        </w:rPr>
        <w:t xml:space="preserve">表计与采集器之间通过 RS-485（Modbus RTU）或 M-Bus 总线通讯，采集器经有线以太网接入设备网，与边缘控制器通讯；无内网区域经 4G DTU 回传。</w:t>
      </w:r>
    </w:p>
    <w:p>
      <w:pPr>
        <w:pStyle w:val="Heading2"/>
        <w:spacing w:after="140" w:before="280"/>
      </w:pPr>
      <w:r>
        <w:rPr>
          <w:rFonts w:ascii="Arial" w:cs="Arial" w:eastAsia="Microsoft YaHei" w:hAnsi="Arial"/>
          <w:b/>
          <w:bCs/>
          <w:color w:val="1E2832"/>
          <w:sz w:val="26"/>
          <w:szCs w:val="26"/>
        </w:rPr>
        <w:t xml:space="preserve">4.3 平台层</w:t>
      </w:r>
    </w:p>
    <w:p>
      <w:pPr>
        <w:spacing w:after="120" w:line="320"/>
        <w:ind w:firstLine="504"/>
      </w:pPr>
      <w:r>
        <w:rPr>
          <w:rFonts w:ascii="Times New Roman" w:cs="Times New Roman" w:eastAsia="SimSun" w:hAnsi="Times New Roman"/>
          <w:color w:val="1E2832"/>
          <w:sz w:val="21"/>
          <w:szCs w:val="21"/>
        </w:rPr>
        <w:t xml:space="preserve">平台采用 B/S 架构。energyMatrix 以 FIN Pod 形式部署于 FIN Framework 5（Fantom 后端 + React 前端），通过局域网 API 接口实现本地端数据互通以及 AI Agent 功能的应用；集团场景经 FIN Network 实现多站点集中管理。</w:t>
      </w:r>
    </w:p>
    <w:p>
      <w:pPr>
        <w:pStyle w:val="Heading2"/>
        <w:spacing w:after="140" w:before="280"/>
      </w:pPr>
      <w:r>
        <w:rPr>
          <w:rFonts w:ascii="Arial" w:cs="Arial" w:eastAsia="Microsoft YaHei" w:hAnsi="Arial"/>
          <w:b/>
          <w:bCs/>
          <w:color w:val="1E2832"/>
          <w:sz w:val="26"/>
          <w:szCs w:val="26"/>
        </w:rPr>
        <w:t xml:space="preserve">4.4 语义模型</w:t>
      </w:r>
    </w:p>
    <w:p>
      <w:pPr>
        <w:spacing w:after="120" w:line="320"/>
        <w:ind w:firstLine="504"/>
      </w:pPr>
      <w:r>
        <w:rPr>
          <w:rFonts w:ascii="Times New Roman" w:cs="Times New Roman" w:eastAsia="SimSun" w:hAnsi="Times New Roman"/>
          <w:color w:val="1E2832"/>
          <w:sz w:val="21"/>
          <w:szCs w:val="21"/>
        </w:rPr>
        <w:t xml:space="preserve">系统采用两层语义模型：Layer 1 对象与设备（空间与组织 / 计量 / 供能 / 用能四个域），Layer 2 业务对象（台账 / 分摊 / 计费 / 指标 / 核证 / 碳 / 诊断七个域），两层之间唯一的数据通道是能耗台账。语义定义以 Xeto 库 em 为规格源真相（随 pod 打包），运行侧由约 150 个标签与 16 个枚举的定义库在 FIN 5.3 生效；14 个 ModelEntity 模板是实例化设备与表计的唯一入口。</w:t>
      </w:r>
    </w:p>
    <w:p>
      <w:pPr>
        <w:pStyle w:val="Heading1"/>
        <w:spacing w:after="180" w:before="360"/>
      </w:pPr>
      <w:r>
        <w:rPr>
          <w:rFonts w:ascii="Arial" w:cs="Arial" w:eastAsia="Microsoft YaHei" w:hAnsi="Arial"/>
          <w:b/>
          <w:bCs/>
          <w:color w:val="0B5F77"/>
          <w:sz w:val="32"/>
          <w:szCs w:val="32"/>
        </w:rPr>
        <w:t xml:space="preserve">五、应用场景</w:t>
      </w:r>
    </w:p>
    <w:p>
      <w:pPr>
        <w:pStyle w:val="Heading2"/>
        <w:spacing w:after="140" w:before="280"/>
      </w:pPr>
      <w:r>
        <w:rPr>
          <w:rFonts w:ascii="Arial" w:cs="Arial" w:eastAsia="Microsoft YaHei" w:hAnsi="Arial"/>
          <w:b/>
          <w:bCs/>
          <w:color w:val="1E2832"/>
          <w:sz w:val="26"/>
          <w:szCs w:val="26"/>
        </w:rPr>
        <w:t xml:space="preserve">5.1 办公场景</w:t>
      </w:r>
    </w:p>
    <w:p>
      <w:pPr>
        <w:spacing w:after="120" w:line="320"/>
        <w:ind w:firstLine="504"/>
      </w:pPr>
      <w:r>
        <w:rPr>
          <w:rFonts w:ascii="Times New Roman" w:cs="Times New Roman" w:eastAsia="SimSun" w:hAnsi="Times New Roman"/>
          <w:color w:val="1E2832"/>
          <w:sz w:val="21"/>
          <w:szCs w:val="21"/>
        </w:rPr>
        <w:t xml:space="preserve">上班时间：以楼层 / 分区为单位跟踪用能强度，非营业时段强度异常自动命中 scheduleWaste 类规则并生成异常；下班后对非必要回路执行定时关闭策略，次日台账自动呈现节支效果。</w:t>
      </w:r>
    </w:p>
    <w:p>
      <w:pPr>
        <w:spacing w:after="120" w:line="320"/>
        <w:ind w:firstLine="504"/>
      </w:pPr>
      <w:r>
        <w:rPr>
          <w:rFonts w:ascii="Times New Roman" w:cs="Times New Roman" w:eastAsia="SimSun" w:hAnsi="Times New Roman"/>
          <w:color w:val="1E2832"/>
          <w:sz w:val="21"/>
          <w:szCs w:val="21"/>
        </w:rPr>
        <w:t xml:space="preserve">定额考核：按科室 / 部门分解定额，执行进度按月呈现，超支对象自动进入诊断清单。</w:t>
      </w:r>
    </w:p>
    <w:p>
      <w:pPr>
        <w:pStyle w:val="Heading2"/>
        <w:spacing w:after="140" w:before="280"/>
      </w:pPr>
      <w:r>
        <w:rPr>
          <w:rFonts w:ascii="Arial" w:cs="Arial" w:eastAsia="Microsoft YaHei" w:hAnsi="Arial"/>
          <w:b/>
          <w:bCs/>
          <w:color w:val="1E2832"/>
          <w:sz w:val="26"/>
          <w:szCs w:val="26"/>
        </w:rPr>
        <w:t xml:space="preserve">5.2 医院场景</w:t>
      </w:r>
    </w:p>
    <w:p>
      <w:pPr>
        <w:spacing w:after="120" w:line="320"/>
        <w:ind w:firstLine="504"/>
      </w:pPr>
      <w:r>
        <w:rPr>
          <w:rFonts w:ascii="Times New Roman" w:cs="Times New Roman" w:eastAsia="SimSun" w:hAnsi="Times New Roman"/>
          <w:color w:val="1E2832"/>
          <w:sz w:val="21"/>
          <w:szCs w:val="21"/>
        </w:rPr>
        <w:t xml:space="preserve">全院分项计量覆盖门诊、住院、手术部与机房；24 小时负荷曲线保障用能安全，需量逼近申报值时提前预警；重点用能设备纳入诊断闭环，异常派单到班组。</w:t>
      </w:r>
    </w:p>
    <w:p>
      <w:pPr>
        <w:pStyle w:val="Heading2"/>
        <w:spacing w:after="140" w:before="280"/>
      </w:pPr>
      <w:r>
        <w:rPr>
          <w:rFonts w:ascii="Arial" w:cs="Arial" w:eastAsia="Microsoft YaHei" w:hAnsi="Arial"/>
          <w:b/>
          <w:bCs/>
          <w:color w:val="1E2832"/>
          <w:sz w:val="26"/>
          <w:szCs w:val="26"/>
        </w:rPr>
        <w:t xml:space="preserve">5.3 商业综合体场景</w:t>
      </w:r>
    </w:p>
    <w:p>
      <w:pPr>
        <w:spacing w:after="120" w:line="320"/>
        <w:ind w:firstLine="504"/>
      </w:pPr>
      <w:r>
        <w:rPr>
          <w:rFonts w:ascii="Times New Roman" w:cs="Times New Roman" w:eastAsia="SimSun" w:hAnsi="Times New Roman"/>
          <w:color w:val="1E2832"/>
          <w:sz w:val="21"/>
          <w:szCs w:val="21"/>
        </w:rPr>
        <w:t xml:space="preserve">租户账单与公区分摊：每个账单项逐笔回溯到台账条目与表计，争议有据可查；租户 EUI 同业态排名，为招商与运营提供数据支撑。</w:t>
      </w:r>
    </w:p>
    <w:p>
      <w:pPr>
        <w:pStyle w:val="Heading2"/>
        <w:spacing w:after="140" w:before="280"/>
      </w:pPr>
      <w:r>
        <w:rPr>
          <w:rFonts w:ascii="Arial" w:cs="Arial" w:eastAsia="Microsoft YaHei" w:hAnsi="Arial"/>
          <w:b/>
          <w:bCs/>
          <w:color w:val="1E2832"/>
          <w:sz w:val="26"/>
          <w:szCs w:val="26"/>
        </w:rPr>
        <w:t xml:space="preserve">5.4 园区 / 场馆场景</w:t>
      </w:r>
    </w:p>
    <w:p>
      <w:pPr>
        <w:spacing w:after="120" w:line="320"/>
        <w:ind w:firstLine="504"/>
      </w:pPr>
      <w:r>
        <w:rPr>
          <w:rFonts w:ascii="Times New Roman" w:cs="Times New Roman" w:eastAsia="SimSun" w:hAnsi="Times New Roman"/>
          <w:color w:val="1E2832"/>
          <w:sz w:val="21"/>
          <w:szCs w:val="21"/>
        </w:rPr>
        <w:t xml:space="preserve">分时电价负荷曲线指导负荷转移与储能策略验证；赛事 / 闭馆模式切换的用能差异量化呈现；双碳目标进度、绿证核销与对上报表模板一键生成。</w:t>
      </w:r>
    </w:p>
    <w:p>
      <w:pPr>
        <w:pStyle w:val="Heading2"/>
        <w:spacing w:after="140" w:before="280"/>
      </w:pPr>
      <w:r>
        <w:rPr>
          <w:rFonts w:ascii="Arial" w:cs="Arial" w:eastAsia="Microsoft YaHei" w:hAnsi="Arial"/>
          <w:b/>
          <w:bCs/>
          <w:color w:val="1E2832"/>
          <w:sz w:val="26"/>
          <w:szCs w:val="26"/>
        </w:rPr>
        <w:t xml:space="preserve">5.5 集团多站点场景</w:t>
      </w:r>
    </w:p>
    <w:p>
      <w:pPr>
        <w:spacing w:after="120" w:line="320"/>
        <w:ind w:firstLine="504"/>
      </w:pPr>
      <w:r>
        <w:rPr>
          <w:rFonts w:ascii="Times New Roman" w:cs="Times New Roman" w:eastAsia="SimSun" w:hAnsi="Times New Roman"/>
          <w:color w:val="1E2832"/>
          <w:sz w:val="21"/>
          <w:szCs w:val="21"/>
        </w:rPr>
        <w:t xml:space="preserve">多项目经 FIN Network 汇总至多项目总览，EUI 归一化至标准气象年（CDD/HDD 修正）后跨项目排名，集团汇总指标一键取数。</w:t>
      </w:r>
    </w:p>
    <w:p>
      <w:pPr>
        <w:pStyle w:val="Heading1"/>
        <w:spacing w:after="180" w:before="360"/>
      </w:pPr>
      <w:r>
        <w:rPr>
          <w:rFonts w:ascii="Arial" w:cs="Arial" w:eastAsia="Microsoft YaHei" w:hAnsi="Arial"/>
          <w:b/>
          <w:bCs/>
          <w:color w:val="0B5F77"/>
          <w:sz w:val="32"/>
          <w:szCs w:val="32"/>
        </w:rPr>
        <w:t xml:space="preserve">六、技术参数</w:t>
      </w:r>
    </w:p>
    <w:p>
      <w:pPr>
        <w:pStyle w:val="Heading2"/>
        <w:spacing w:after="140" w:before="280"/>
      </w:pPr>
      <w:r>
        <w:rPr>
          <w:rFonts w:ascii="Arial" w:cs="Arial" w:eastAsia="Microsoft YaHei" w:hAnsi="Arial"/>
          <w:b/>
          <w:bCs/>
          <w:color w:val="1E2832"/>
          <w:sz w:val="26"/>
          <w:szCs w:val="26"/>
        </w:rPr>
        <w:t xml:space="preserve">6.1 F200 边缘引擎</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7500"/>
      </w:tblGrid>
      <w:tr>
        <w:tc>
          <w:tcPr>
            <w:tcW w:type="dxa" w:w="1500"/>
            <w:shd w:fill="EEF3F6" w:val="clear"/>
            <w:tcMar>
              <w:top w:type="dxa" w:w="80"/>
              <w:left w:type="dxa" w:w="110"/>
              <w:bottom w:type="dxa" w:w="80"/>
              <w:right w:type="dxa" w:w="110"/>
            </w:tcMar>
          </w:tcPr>
          <w:p>
            <w:pPr>
              <w:spacing w:after="0" w:line="260"/>
            </w:pPr>
            <w:r>
              <w:rPr>
                <w:rFonts w:ascii="Times New Roman" w:cs="Times New Roman" w:eastAsia="SimSun" w:hAnsi="Times New Roman"/>
                <w:color w:val="1E2832"/>
                <w:sz w:val="19"/>
                <w:szCs w:val="19"/>
              </w:rPr>
              <w:t xml:space="preserve">产品简介</w:t>
            </w:r>
          </w:p>
        </w:tc>
        <w:tc>
          <w:tcPr>
            <w:tcW w:type="dxa" w:w="7500"/>
            <w:tcMar>
              <w:top w:type="dxa" w:w="80"/>
              <w:left w:type="dxa" w:w="110"/>
              <w:bottom w:type="dxa" w:w="80"/>
              <w:right w:type="dxa" w:w="110"/>
            </w:tcMar>
          </w:tcPr>
          <w:p>
            <w:pPr>
              <w:spacing w:after="0" w:line="260"/>
            </w:pPr>
            <w:r>
              <w:rPr>
                <w:rFonts w:ascii="Times New Roman" w:cs="Times New Roman" w:eastAsia="SimSun" w:hAnsi="Times New Roman"/>
                <w:color w:val="1E2832"/>
                <w:sz w:val="19"/>
                <w:szCs w:val="19"/>
              </w:rPr>
              <w:t xml:space="preserve">边缘引擎（CFG3.F200），内嵌 FIN Framework；支持 3 网口与 4G 无线上网，内置 8GB eMMC；浏览器完成全部工程调试</w:t>
            </w:r>
          </w:p>
        </w:tc>
      </w:tr>
      <w:tr>
        <w:tc>
          <w:tcPr>
            <w:tcW w:type="dxa" w:w="1500"/>
            <w:shd w:fill="EEF3F6" w:val="clear"/>
            <w:tcMar>
              <w:top w:type="dxa" w:w="80"/>
              <w:left w:type="dxa" w:w="110"/>
              <w:bottom w:type="dxa" w:w="80"/>
              <w:right w:type="dxa" w:w="110"/>
            </w:tcMar>
          </w:tcPr>
          <w:p>
            <w:pPr>
              <w:spacing w:after="0" w:line="260"/>
            </w:pPr>
            <w:r>
              <w:rPr>
                <w:rFonts w:ascii="Times New Roman" w:cs="Times New Roman" w:eastAsia="SimSun" w:hAnsi="Times New Roman"/>
                <w:color w:val="1E2832"/>
                <w:sz w:val="19"/>
                <w:szCs w:val="19"/>
              </w:rPr>
              <w:t xml:space="preserve">协议支持</w:t>
            </w:r>
          </w:p>
        </w:tc>
        <w:tc>
          <w:tcPr>
            <w:tcW w:type="dxa" w:w="7500"/>
            <w:tcMar>
              <w:top w:type="dxa" w:w="80"/>
              <w:left w:type="dxa" w:w="110"/>
              <w:bottom w:type="dxa" w:w="80"/>
              <w:right w:type="dxa" w:w="110"/>
            </w:tcMar>
          </w:tcPr>
          <w:p>
            <w:pPr>
              <w:spacing w:after="0" w:line="260"/>
            </w:pPr>
            <w:r>
              <w:rPr>
                <w:rFonts w:ascii="Times New Roman" w:cs="Times New Roman" w:eastAsia="SimSun" w:hAnsi="Times New Roman"/>
                <w:color w:val="1E2832"/>
                <w:sz w:val="19"/>
                <w:szCs w:val="19"/>
              </w:rPr>
              <w:t xml:space="preserve">BACnet IP、Modbus TCP/IP/RTU、KNX IP、OPC UA、MQTT、Haystack RESTful API 等</w:t>
            </w:r>
          </w:p>
        </w:tc>
      </w:tr>
      <w:tr>
        <w:tc>
          <w:tcPr>
            <w:tcW w:type="dxa" w:w="1500"/>
            <w:shd w:fill="EEF3F6" w:val="clear"/>
            <w:tcMar>
              <w:top w:type="dxa" w:w="80"/>
              <w:left w:type="dxa" w:w="110"/>
              <w:bottom w:type="dxa" w:w="80"/>
              <w:right w:type="dxa" w:w="110"/>
            </w:tcMar>
          </w:tcPr>
          <w:p>
            <w:pPr>
              <w:spacing w:after="0" w:line="260"/>
            </w:pPr>
            <w:r>
              <w:rPr>
                <w:rFonts w:ascii="Times New Roman" w:cs="Times New Roman" w:eastAsia="SimSun" w:hAnsi="Times New Roman"/>
                <w:color w:val="1E2832"/>
                <w:sz w:val="19"/>
                <w:szCs w:val="19"/>
              </w:rPr>
              <w:t xml:space="preserve">点位规模</w:t>
            </w:r>
          </w:p>
        </w:tc>
        <w:tc>
          <w:tcPr>
            <w:tcW w:type="dxa" w:w="7500"/>
            <w:tcMar>
              <w:top w:type="dxa" w:w="80"/>
              <w:left w:type="dxa" w:w="110"/>
              <w:bottom w:type="dxa" w:w="80"/>
              <w:right w:type="dxa" w:w="110"/>
            </w:tcMar>
          </w:tcPr>
          <w:p>
            <w:pPr>
              <w:spacing w:after="0" w:line="260"/>
            </w:pPr>
            <w:r>
              <w:rPr>
                <w:rFonts w:ascii="Times New Roman" w:cs="Times New Roman" w:eastAsia="SimSun" w:hAnsi="Times New Roman"/>
                <w:color w:val="1E2832"/>
                <w:sz w:val="19"/>
                <w:szCs w:val="19"/>
              </w:rPr>
              <w:t xml:space="preserve">单台最大 3,000 点</w:t>
            </w:r>
          </w:p>
        </w:tc>
      </w:tr>
      <w:tr>
        <w:tc>
          <w:tcPr>
            <w:tcW w:type="dxa" w:w="1500"/>
            <w:shd w:fill="EEF3F6" w:val="clear"/>
            <w:tcMar>
              <w:top w:type="dxa" w:w="80"/>
              <w:left w:type="dxa" w:w="110"/>
              <w:bottom w:type="dxa" w:w="80"/>
              <w:right w:type="dxa" w:w="110"/>
            </w:tcMar>
          </w:tcPr>
          <w:p>
            <w:pPr>
              <w:spacing w:after="0" w:line="260"/>
            </w:pPr>
            <w:r>
              <w:rPr>
                <w:rFonts w:ascii="Times New Roman" w:cs="Times New Roman" w:eastAsia="SimSun" w:hAnsi="Times New Roman"/>
                <w:color w:val="1E2832"/>
                <w:sz w:val="19"/>
                <w:szCs w:val="19"/>
              </w:rPr>
              <w:t xml:space="preserve">产品尺寸</w:t>
            </w:r>
          </w:p>
        </w:tc>
        <w:tc>
          <w:tcPr>
            <w:tcW w:type="dxa" w:w="7500"/>
            <w:tcMar>
              <w:top w:type="dxa" w:w="80"/>
              <w:left w:type="dxa" w:w="110"/>
              <w:bottom w:type="dxa" w:w="80"/>
              <w:right w:type="dxa" w:w="110"/>
            </w:tcMar>
          </w:tcPr>
          <w:p>
            <w:pPr>
              <w:spacing w:after="0" w:line="260"/>
            </w:pPr>
            <w:r>
              <w:rPr>
                <w:rFonts w:ascii="Times New Roman" w:cs="Times New Roman" w:eastAsia="SimSun" w:hAnsi="Times New Roman"/>
                <w:color w:val="1E2832"/>
                <w:sz w:val="19"/>
                <w:szCs w:val="19"/>
              </w:rPr>
              <w:t xml:space="preserve">144 × 117 × 74.5 mm</w:t>
            </w:r>
          </w:p>
        </w:tc>
      </w:tr>
      <w:tr>
        <w:tc>
          <w:tcPr>
            <w:tcW w:type="dxa" w:w="1500"/>
            <w:shd w:fill="EEF3F6" w:val="clear"/>
            <w:tcMar>
              <w:top w:type="dxa" w:w="80"/>
              <w:left w:type="dxa" w:w="110"/>
              <w:bottom w:type="dxa" w:w="80"/>
              <w:right w:type="dxa" w:w="110"/>
            </w:tcMar>
          </w:tcPr>
          <w:p>
            <w:pPr>
              <w:spacing w:after="0" w:line="260"/>
            </w:pPr>
            <w:r>
              <w:rPr>
                <w:rFonts w:ascii="Times New Roman" w:cs="Times New Roman" w:eastAsia="SimSun" w:hAnsi="Times New Roman"/>
                <w:color w:val="1E2832"/>
                <w:sz w:val="19"/>
                <w:szCs w:val="19"/>
              </w:rPr>
              <w:t xml:space="preserve">电源输入</w:t>
            </w:r>
          </w:p>
        </w:tc>
        <w:tc>
          <w:tcPr>
            <w:tcW w:type="dxa" w:w="7500"/>
            <w:tcMar>
              <w:top w:type="dxa" w:w="80"/>
              <w:left w:type="dxa" w:w="110"/>
              <w:bottom w:type="dxa" w:w="80"/>
              <w:right w:type="dxa" w:w="110"/>
            </w:tcMar>
          </w:tcPr>
          <w:p>
            <w:pPr>
              <w:spacing w:after="0" w:line="260"/>
            </w:pPr>
            <w:r>
              <w:rPr>
                <w:rFonts w:ascii="Times New Roman" w:cs="Times New Roman" w:eastAsia="SimSun" w:hAnsi="Times New Roman"/>
                <w:color w:val="1E2832"/>
                <w:sz w:val="19"/>
                <w:szCs w:val="19"/>
              </w:rPr>
              <w:t xml:space="preserve">24V AC/DC</w:t>
            </w:r>
          </w:p>
        </w:tc>
      </w:tr>
      <w:tr>
        <w:tc>
          <w:tcPr>
            <w:tcW w:type="dxa" w:w="1500"/>
            <w:shd w:fill="EEF3F6" w:val="clear"/>
            <w:tcMar>
              <w:top w:type="dxa" w:w="80"/>
              <w:left w:type="dxa" w:w="110"/>
              <w:bottom w:type="dxa" w:w="80"/>
              <w:right w:type="dxa" w:w="110"/>
            </w:tcMar>
          </w:tcPr>
          <w:p>
            <w:pPr>
              <w:spacing w:after="0" w:line="260"/>
            </w:pPr>
            <w:r>
              <w:rPr>
                <w:rFonts w:ascii="Times New Roman" w:cs="Times New Roman" w:eastAsia="SimSun" w:hAnsi="Times New Roman"/>
                <w:color w:val="1E2832"/>
                <w:sz w:val="19"/>
                <w:szCs w:val="19"/>
              </w:rPr>
              <w:t xml:space="preserve">额定功率</w:t>
            </w:r>
          </w:p>
        </w:tc>
        <w:tc>
          <w:tcPr>
            <w:tcW w:type="dxa" w:w="7500"/>
            <w:tcMar>
              <w:top w:type="dxa" w:w="80"/>
              <w:left w:type="dxa" w:w="110"/>
              <w:bottom w:type="dxa" w:w="80"/>
              <w:right w:type="dxa" w:w="110"/>
            </w:tcMar>
          </w:tcPr>
          <w:p>
            <w:pPr>
              <w:spacing w:after="0" w:line="260"/>
            </w:pPr>
            <w:r>
              <w:rPr>
                <w:rFonts w:ascii="Times New Roman" w:cs="Times New Roman" w:eastAsia="SimSun" w:hAnsi="Times New Roman"/>
                <w:color w:val="1E2832"/>
                <w:sz w:val="19"/>
                <w:szCs w:val="19"/>
              </w:rPr>
              <w:t xml:space="preserve">8W</w:t>
            </w:r>
          </w:p>
        </w:tc>
      </w:tr>
      <w:tr>
        <w:tc>
          <w:tcPr>
            <w:tcW w:type="dxa" w:w="1500"/>
            <w:shd w:fill="EEF3F6" w:val="clear"/>
            <w:tcMar>
              <w:top w:type="dxa" w:w="80"/>
              <w:left w:type="dxa" w:w="110"/>
              <w:bottom w:type="dxa" w:w="80"/>
              <w:right w:type="dxa" w:w="110"/>
            </w:tcMar>
          </w:tcPr>
          <w:p>
            <w:pPr>
              <w:spacing w:after="0" w:line="260"/>
            </w:pPr>
            <w:r>
              <w:rPr>
                <w:rFonts w:ascii="Times New Roman" w:cs="Times New Roman" w:eastAsia="SimSun" w:hAnsi="Times New Roman"/>
                <w:color w:val="1E2832"/>
                <w:sz w:val="19"/>
                <w:szCs w:val="19"/>
              </w:rPr>
              <w:t xml:space="preserve">RAM / 存储</w:t>
            </w:r>
          </w:p>
        </w:tc>
        <w:tc>
          <w:tcPr>
            <w:tcW w:type="dxa" w:w="7500"/>
            <w:tcMar>
              <w:top w:type="dxa" w:w="80"/>
              <w:left w:type="dxa" w:w="110"/>
              <w:bottom w:type="dxa" w:w="80"/>
              <w:right w:type="dxa" w:w="110"/>
            </w:tcMar>
          </w:tcPr>
          <w:p>
            <w:pPr>
              <w:spacing w:after="0" w:line="260"/>
            </w:pPr>
            <w:r>
              <w:rPr>
                <w:rFonts w:ascii="Times New Roman" w:cs="Times New Roman" w:eastAsia="SimSun" w:hAnsi="Times New Roman"/>
                <w:color w:val="1E2832"/>
                <w:sz w:val="19"/>
                <w:szCs w:val="19"/>
              </w:rPr>
              <w:t xml:space="preserve">2GB / 8GB eMMC</w:t>
            </w:r>
          </w:p>
        </w:tc>
      </w:tr>
      <w:tr>
        <w:tc>
          <w:tcPr>
            <w:tcW w:type="dxa" w:w="1500"/>
            <w:shd w:fill="EEF3F6" w:val="clear"/>
            <w:tcMar>
              <w:top w:type="dxa" w:w="80"/>
              <w:left w:type="dxa" w:w="110"/>
              <w:bottom w:type="dxa" w:w="80"/>
              <w:right w:type="dxa" w:w="110"/>
            </w:tcMar>
          </w:tcPr>
          <w:p>
            <w:pPr>
              <w:spacing w:after="0" w:line="260"/>
            </w:pPr>
            <w:r>
              <w:rPr>
                <w:rFonts w:ascii="Times New Roman" w:cs="Times New Roman" w:eastAsia="SimSun" w:hAnsi="Times New Roman"/>
                <w:color w:val="1E2832"/>
                <w:sz w:val="19"/>
                <w:szCs w:val="19"/>
              </w:rPr>
              <w:t xml:space="preserve">网口</w:t>
            </w:r>
          </w:p>
        </w:tc>
        <w:tc>
          <w:tcPr>
            <w:tcW w:type="dxa" w:w="7500"/>
            <w:tcMar>
              <w:top w:type="dxa" w:w="80"/>
              <w:left w:type="dxa" w:w="110"/>
              <w:bottom w:type="dxa" w:w="80"/>
              <w:right w:type="dxa" w:w="110"/>
            </w:tcMar>
          </w:tcPr>
          <w:p>
            <w:pPr>
              <w:spacing w:after="0" w:line="260"/>
            </w:pPr>
            <w:r>
              <w:rPr>
                <w:rFonts w:ascii="Times New Roman" w:cs="Times New Roman" w:eastAsia="SimSun" w:hAnsi="Times New Roman"/>
                <w:color w:val="1E2832"/>
                <w:sz w:val="19"/>
                <w:szCs w:val="19"/>
              </w:rPr>
              <w:t xml:space="preserve">RJ45 × 3（100 mb/s）</w:t>
            </w:r>
          </w:p>
        </w:tc>
      </w:tr>
      <w:tr>
        <w:tc>
          <w:tcPr>
            <w:tcW w:type="dxa" w:w="1500"/>
            <w:shd w:fill="EEF3F6" w:val="clear"/>
            <w:tcMar>
              <w:top w:type="dxa" w:w="80"/>
              <w:left w:type="dxa" w:w="110"/>
              <w:bottom w:type="dxa" w:w="80"/>
              <w:right w:type="dxa" w:w="110"/>
            </w:tcMar>
          </w:tcPr>
          <w:p>
            <w:pPr>
              <w:spacing w:after="0" w:line="260"/>
            </w:pPr>
            <w:r>
              <w:rPr>
                <w:rFonts w:ascii="Times New Roman" w:cs="Times New Roman" w:eastAsia="SimSun" w:hAnsi="Times New Roman"/>
                <w:color w:val="1E2832"/>
                <w:sz w:val="19"/>
                <w:szCs w:val="19"/>
              </w:rPr>
              <w:t xml:space="preserve">工作环境</w:t>
            </w:r>
          </w:p>
        </w:tc>
        <w:tc>
          <w:tcPr>
            <w:tcW w:type="dxa" w:w="7500"/>
            <w:tcMar>
              <w:top w:type="dxa" w:w="80"/>
              <w:left w:type="dxa" w:w="110"/>
              <w:bottom w:type="dxa" w:w="80"/>
              <w:right w:type="dxa" w:w="110"/>
            </w:tcMar>
          </w:tcPr>
          <w:p>
            <w:pPr>
              <w:spacing w:after="0" w:line="260"/>
            </w:pPr>
            <w:r>
              <w:rPr>
                <w:rFonts w:ascii="Times New Roman" w:cs="Times New Roman" w:eastAsia="SimSun" w:hAnsi="Times New Roman"/>
                <w:color w:val="1E2832"/>
                <w:sz w:val="19"/>
                <w:szCs w:val="19"/>
              </w:rPr>
              <w:t xml:space="preserve">-5℃ ~ 50℃，5~95% RH（非冷凝）</w:t>
            </w:r>
          </w:p>
        </w:tc>
      </w:tr>
    </w:tbl>
    <w:p>
      <w:pPr>
        <w:pStyle w:val="Heading2"/>
        <w:spacing w:after="140" w:before="280"/>
      </w:pPr>
      <w:r>
        <w:rPr>
          <w:rFonts w:ascii="Arial" w:cs="Arial" w:eastAsia="Microsoft YaHei" w:hAnsi="Arial"/>
          <w:b/>
          <w:bCs/>
          <w:color w:val="1E2832"/>
          <w:sz w:val="26"/>
          <w:szCs w:val="26"/>
        </w:rPr>
        <w:t xml:space="preserve">6.2 NEXIO 边缘控制器</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7500"/>
      </w:tblGrid>
      <w:tr>
        <w:tc>
          <w:tcPr>
            <w:tcW w:type="dxa" w:w="1500"/>
            <w:shd w:fill="EEF3F6" w:val="clear"/>
            <w:tcMar>
              <w:top w:type="dxa" w:w="80"/>
              <w:left w:type="dxa" w:w="110"/>
              <w:bottom w:type="dxa" w:w="80"/>
              <w:right w:type="dxa" w:w="110"/>
            </w:tcMar>
          </w:tcPr>
          <w:p>
            <w:pPr>
              <w:spacing w:after="0" w:line="260"/>
            </w:pPr>
            <w:r>
              <w:rPr>
                <w:rFonts w:ascii="Times New Roman" w:cs="Times New Roman" w:eastAsia="SimSun" w:hAnsi="Times New Roman"/>
                <w:color w:val="1E2832"/>
                <w:sz w:val="19"/>
                <w:szCs w:val="19"/>
              </w:rPr>
              <w:t xml:space="preserve">产品简介</w:t>
            </w:r>
          </w:p>
        </w:tc>
        <w:tc>
          <w:tcPr>
            <w:tcW w:type="dxa" w:w="7500"/>
            <w:tcMar>
              <w:top w:type="dxa" w:w="80"/>
              <w:left w:type="dxa" w:w="110"/>
              <w:bottom w:type="dxa" w:w="80"/>
              <w:right w:type="dxa" w:w="110"/>
            </w:tcMar>
          </w:tcPr>
          <w:p>
            <w:pPr>
              <w:spacing w:after="0" w:line="260"/>
            </w:pPr>
            <w:r>
              <w:rPr>
                <w:rFonts w:ascii="Times New Roman" w:cs="Times New Roman" w:eastAsia="SimSun" w:hAnsi="Times New Roman"/>
                <w:color w:val="1E2832"/>
                <w:sz w:val="19"/>
                <w:szCs w:val="19"/>
              </w:rPr>
              <w:t xml:space="preserve">边缘控制器，内嵌 FIN Framework；双 RS-485 与 M-Bus 直连，支持 Daisy-chain 网络与故障旁路</w:t>
            </w:r>
          </w:p>
        </w:tc>
      </w:tr>
      <w:tr>
        <w:tc>
          <w:tcPr>
            <w:tcW w:type="dxa" w:w="1500"/>
            <w:shd w:fill="EEF3F6" w:val="clear"/>
            <w:tcMar>
              <w:top w:type="dxa" w:w="80"/>
              <w:left w:type="dxa" w:w="110"/>
              <w:bottom w:type="dxa" w:w="80"/>
              <w:right w:type="dxa" w:w="110"/>
            </w:tcMar>
          </w:tcPr>
          <w:p>
            <w:pPr>
              <w:spacing w:after="0" w:line="260"/>
            </w:pPr>
            <w:r>
              <w:rPr>
                <w:rFonts w:ascii="Times New Roman" w:cs="Times New Roman" w:eastAsia="SimSun" w:hAnsi="Times New Roman"/>
                <w:color w:val="1E2832"/>
                <w:sz w:val="19"/>
                <w:szCs w:val="19"/>
              </w:rPr>
              <w:t xml:space="preserve">处理器</w:t>
            </w:r>
          </w:p>
        </w:tc>
        <w:tc>
          <w:tcPr>
            <w:tcW w:type="dxa" w:w="7500"/>
            <w:tcMar>
              <w:top w:type="dxa" w:w="80"/>
              <w:left w:type="dxa" w:w="110"/>
              <w:bottom w:type="dxa" w:w="80"/>
              <w:right w:type="dxa" w:w="110"/>
            </w:tcMar>
          </w:tcPr>
          <w:p>
            <w:pPr>
              <w:spacing w:after="0" w:line="260"/>
            </w:pPr>
            <w:r>
              <w:rPr>
                <w:rFonts w:ascii="Times New Roman" w:cs="Times New Roman" w:eastAsia="SimSun" w:hAnsi="Times New Roman"/>
                <w:color w:val="1E2832"/>
                <w:sz w:val="19"/>
                <w:szCs w:val="19"/>
              </w:rPr>
              <w:t xml:space="preserve">Quad-core Cortex-A72 (ARM v8) 64-bit 1.5GHz</w:t>
            </w:r>
          </w:p>
        </w:tc>
      </w:tr>
      <w:tr>
        <w:tc>
          <w:tcPr>
            <w:tcW w:type="dxa" w:w="1500"/>
            <w:shd w:fill="EEF3F6" w:val="clear"/>
            <w:tcMar>
              <w:top w:type="dxa" w:w="80"/>
              <w:left w:type="dxa" w:w="110"/>
              <w:bottom w:type="dxa" w:w="80"/>
              <w:right w:type="dxa" w:w="110"/>
            </w:tcMar>
          </w:tcPr>
          <w:p>
            <w:pPr>
              <w:spacing w:after="0" w:line="260"/>
            </w:pPr>
            <w:r>
              <w:rPr>
                <w:rFonts w:ascii="Times New Roman" w:cs="Times New Roman" w:eastAsia="SimSun" w:hAnsi="Times New Roman"/>
                <w:color w:val="1E2832"/>
                <w:sz w:val="19"/>
                <w:szCs w:val="19"/>
              </w:rPr>
              <w:t xml:space="preserve">RAM / 存储</w:t>
            </w:r>
          </w:p>
        </w:tc>
        <w:tc>
          <w:tcPr>
            <w:tcW w:type="dxa" w:w="7500"/>
            <w:tcMar>
              <w:top w:type="dxa" w:w="80"/>
              <w:left w:type="dxa" w:w="110"/>
              <w:bottom w:type="dxa" w:w="80"/>
              <w:right w:type="dxa" w:w="110"/>
            </w:tcMar>
          </w:tcPr>
          <w:p>
            <w:pPr>
              <w:spacing w:after="0" w:line="260"/>
            </w:pPr>
            <w:r>
              <w:rPr>
                <w:rFonts w:ascii="Times New Roman" w:cs="Times New Roman" w:eastAsia="SimSun" w:hAnsi="Times New Roman"/>
                <w:color w:val="1E2832"/>
                <w:sz w:val="19"/>
                <w:szCs w:val="19"/>
              </w:rPr>
              <w:t xml:space="preserve">4GB LPDDR4 / 16GB eMMC</w:t>
            </w:r>
          </w:p>
        </w:tc>
      </w:tr>
      <w:tr>
        <w:tc>
          <w:tcPr>
            <w:tcW w:type="dxa" w:w="1500"/>
            <w:shd w:fill="EEF3F6" w:val="clear"/>
            <w:tcMar>
              <w:top w:type="dxa" w:w="80"/>
              <w:left w:type="dxa" w:w="110"/>
              <w:bottom w:type="dxa" w:w="80"/>
              <w:right w:type="dxa" w:w="110"/>
            </w:tcMar>
          </w:tcPr>
          <w:p>
            <w:pPr>
              <w:spacing w:after="0" w:line="260"/>
            </w:pPr>
            <w:r>
              <w:rPr>
                <w:rFonts w:ascii="Times New Roman" w:cs="Times New Roman" w:eastAsia="SimSun" w:hAnsi="Times New Roman"/>
                <w:color w:val="1E2832"/>
                <w:sz w:val="19"/>
                <w:szCs w:val="19"/>
              </w:rPr>
              <w:t xml:space="preserve">点位规模</w:t>
            </w:r>
          </w:p>
        </w:tc>
        <w:tc>
          <w:tcPr>
            <w:tcW w:type="dxa" w:w="7500"/>
            <w:tcMar>
              <w:top w:type="dxa" w:w="80"/>
              <w:left w:type="dxa" w:w="110"/>
              <w:bottom w:type="dxa" w:w="80"/>
              <w:right w:type="dxa" w:w="110"/>
            </w:tcMar>
          </w:tcPr>
          <w:p>
            <w:pPr>
              <w:spacing w:after="0" w:line="260"/>
            </w:pPr>
            <w:r>
              <w:rPr>
                <w:rFonts w:ascii="Times New Roman" w:cs="Times New Roman" w:eastAsia="SimSun" w:hAnsi="Times New Roman"/>
                <w:color w:val="1E2832"/>
                <w:sz w:val="19"/>
                <w:szCs w:val="19"/>
              </w:rPr>
              <w:t xml:space="preserve">单台最大 5,000 点</w:t>
            </w:r>
          </w:p>
        </w:tc>
      </w:tr>
      <w:tr>
        <w:tc>
          <w:tcPr>
            <w:tcW w:type="dxa" w:w="1500"/>
            <w:shd w:fill="EEF3F6" w:val="clear"/>
            <w:tcMar>
              <w:top w:type="dxa" w:w="80"/>
              <w:left w:type="dxa" w:w="110"/>
              <w:bottom w:type="dxa" w:w="80"/>
              <w:right w:type="dxa" w:w="110"/>
            </w:tcMar>
          </w:tcPr>
          <w:p>
            <w:pPr>
              <w:spacing w:after="0" w:line="260"/>
            </w:pPr>
            <w:r>
              <w:rPr>
                <w:rFonts w:ascii="Times New Roman" w:cs="Times New Roman" w:eastAsia="SimSun" w:hAnsi="Times New Roman"/>
                <w:color w:val="1E2832"/>
                <w:sz w:val="19"/>
                <w:szCs w:val="19"/>
              </w:rPr>
              <w:t xml:space="preserve">接口</w:t>
            </w:r>
          </w:p>
        </w:tc>
        <w:tc>
          <w:tcPr>
            <w:tcW w:type="dxa" w:w="7500"/>
            <w:tcMar>
              <w:top w:type="dxa" w:w="80"/>
              <w:left w:type="dxa" w:w="110"/>
              <w:bottom w:type="dxa" w:w="80"/>
              <w:right w:type="dxa" w:w="110"/>
            </w:tcMar>
          </w:tcPr>
          <w:p>
            <w:pPr>
              <w:spacing w:after="0" w:line="260"/>
            </w:pPr>
            <w:r>
              <w:rPr>
                <w:rFonts w:ascii="Times New Roman" w:cs="Times New Roman" w:eastAsia="SimSun" w:hAnsi="Times New Roman"/>
                <w:color w:val="1E2832"/>
                <w:sz w:val="19"/>
                <w:szCs w:val="19"/>
              </w:rPr>
              <w:t xml:space="preserve">RS-485 × 2、M-Bus × 1（直连 ≤5 台）、以太网 × 2、USB × 1、Wi-Fi 配置热点</w:t>
            </w:r>
          </w:p>
        </w:tc>
      </w:tr>
      <w:tr>
        <w:tc>
          <w:tcPr>
            <w:tcW w:type="dxa" w:w="1500"/>
            <w:shd w:fill="EEF3F6" w:val="clear"/>
            <w:tcMar>
              <w:top w:type="dxa" w:w="80"/>
              <w:left w:type="dxa" w:w="110"/>
              <w:bottom w:type="dxa" w:w="80"/>
              <w:right w:type="dxa" w:w="110"/>
            </w:tcMar>
          </w:tcPr>
          <w:p>
            <w:pPr>
              <w:spacing w:after="0" w:line="260"/>
            </w:pPr>
            <w:r>
              <w:rPr>
                <w:rFonts w:ascii="Times New Roman" w:cs="Times New Roman" w:eastAsia="SimSun" w:hAnsi="Times New Roman"/>
                <w:color w:val="1E2832"/>
                <w:sz w:val="19"/>
                <w:szCs w:val="19"/>
              </w:rPr>
              <w:t xml:space="preserve">电源输入</w:t>
            </w:r>
          </w:p>
        </w:tc>
        <w:tc>
          <w:tcPr>
            <w:tcW w:type="dxa" w:w="7500"/>
            <w:tcMar>
              <w:top w:type="dxa" w:w="80"/>
              <w:left w:type="dxa" w:w="110"/>
              <w:bottom w:type="dxa" w:w="80"/>
              <w:right w:type="dxa" w:w="110"/>
            </w:tcMar>
          </w:tcPr>
          <w:p>
            <w:pPr>
              <w:spacing w:after="0" w:line="260"/>
            </w:pPr>
            <w:r>
              <w:rPr>
                <w:rFonts w:ascii="Times New Roman" w:cs="Times New Roman" w:eastAsia="SimSun" w:hAnsi="Times New Roman"/>
                <w:color w:val="1E2832"/>
                <w:sz w:val="19"/>
                <w:szCs w:val="19"/>
              </w:rPr>
              <w:t xml:space="preserve">12 ÷ 24V AC/DC，最大功耗 10W</w:t>
            </w:r>
          </w:p>
        </w:tc>
      </w:tr>
      <w:tr>
        <w:tc>
          <w:tcPr>
            <w:tcW w:type="dxa" w:w="1500"/>
            <w:shd w:fill="EEF3F6" w:val="clear"/>
            <w:tcMar>
              <w:top w:type="dxa" w:w="80"/>
              <w:left w:type="dxa" w:w="110"/>
              <w:bottom w:type="dxa" w:w="80"/>
              <w:right w:type="dxa" w:w="110"/>
            </w:tcMar>
          </w:tcPr>
          <w:p>
            <w:pPr>
              <w:spacing w:after="0" w:line="260"/>
            </w:pPr>
            <w:r>
              <w:rPr>
                <w:rFonts w:ascii="Times New Roman" w:cs="Times New Roman" w:eastAsia="SimSun" w:hAnsi="Times New Roman"/>
                <w:color w:val="1E2832"/>
                <w:sz w:val="19"/>
                <w:szCs w:val="19"/>
              </w:rPr>
              <w:t xml:space="preserve">产品尺寸</w:t>
            </w:r>
          </w:p>
        </w:tc>
        <w:tc>
          <w:tcPr>
            <w:tcW w:type="dxa" w:w="7500"/>
            <w:tcMar>
              <w:top w:type="dxa" w:w="80"/>
              <w:left w:type="dxa" w:w="110"/>
              <w:bottom w:type="dxa" w:w="80"/>
              <w:right w:type="dxa" w:w="110"/>
            </w:tcMar>
          </w:tcPr>
          <w:p>
            <w:pPr>
              <w:spacing w:after="0" w:line="260"/>
            </w:pPr>
            <w:r>
              <w:rPr>
                <w:rFonts w:ascii="Times New Roman" w:cs="Times New Roman" w:eastAsia="SimSun" w:hAnsi="Times New Roman"/>
                <w:color w:val="1E2832"/>
                <w:sz w:val="19"/>
                <w:szCs w:val="19"/>
              </w:rPr>
              <w:t xml:space="preserve">90 × 105 × 71 mm（6 个 DIN 模数），185 g</w:t>
            </w:r>
          </w:p>
        </w:tc>
      </w:tr>
      <w:tr>
        <w:tc>
          <w:tcPr>
            <w:tcW w:type="dxa" w:w="1500"/>
            <w:shd w:fill="EEF3F6" w:val="clear"/>
            <w:tcMar>
              <w:top w:type="dxa" w:w="80"/>
              <w:left w:type="dxa" w:w="110"/>
              <w:bottom w:type="dxa" w:w="80"/>
              <w:right w:type="dxa" w:w="110"/>
            </w:tcMar>
          </w:tcPr>
          <w:p>
            <w:pPr>
              <w:spacing w:after="0" w:line="260"/>
            </w:pPr>
            <w:r>
              <w:rPr>
                <w:rFonts w:ascii="Times New Roman" w:cs="Times New Roman" w:eastAsia="SimSun" w:hAnsi="Times New Roman"/>
                <w:color w:val="1E2832"/>
                <w:sz w:val="19"/>
                <w:szCs w:val="19"/>
              </w:rPr>
              <w:t xml:space="preserve">工作环境</w:t>
            </w:r>
          </w:p>
        </w:tc>
        <w:tc>
          <w:tcPr>
            <w:tcW w:type="dxa" w:w="7500"/>
            <w:tcMar>
              <w:top w:type="dxa" w:w="80"/>
              <w:left w:type="dxa" w:w="110"/>
              <w:bottom w:type="dxa" w:w="80"/>
              <w:right w:type="dxa" w:w="110"/>
            </w:tcMar>
          </w:tcPr>
          <w:p>
            <w:pPr>
              <w:spacing w:after="0" w:line="260"/>
            </w:pPr>
            <w:r>
              <w:rPr>
                <w:rFonts w:ascii="Times New Roman" w:cs="Times New Roman" w:eastAsia="SimSun" w:hAnsi="Times New Roman"/>
                <w:color w:val="1E2832"/>
                <w:sz w:val="19"/>
                <w:szCs w:val="19"/>
              </w:rPr>
              <w:t xml:space="preserve">0 ~ +60℃，IP20</w:t>
            </w:r>
          </w:p>
        </w:tc>
      </w:tr>
    </w:tbl>
    <w:p>
      <w:pPr>
        <w:pStyle w:val="Heading2"/>
        <w:spacing w:after="140" w:before="280"/>
      </w:pPr>
      <w:r>
        <w:rPr>
          <w:rFonts w:ascii="Arial" w:cs="Arial" w:eastAsia="Microsoft YaHei" w:hAnsi="Arial"/>
          <w:b/>
          <w:bCs/>
          <w:color w:val="1E2832"/>
          <w:sz w:val="26"/>
          <w:szCs w:val="26"/>
        </w:rPr>
        <w:t xml:space="preserve">6.3 关口多功能电表（选型技术要求）</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7500"/>
      </w:tblGrid>
      <w:tr>
        <w:tc>
          <w:tcPr>
            <w:tcW w:type="dxa" w:w="1500"/>
            <w:shd w:fill="EEF3F6" w:val="clear"/>
            <w:tcMar>
              <w:top w:type="dxa" w:w="80"/>
              <w:left w:type="dxa" w:w="110"/>
              <w:bottom w:type="dxa" w:w="80"/>
              <w:right w:type="dxa" w:w="110"/>
            </w:tcMar>
          </w:tcPr>
          <w:p>
            <w:pPr>
              <w:spacing w:after="0" w:line="260"/>
            </w:pPr>
            <w:r>
              <w:rPr>
                <w:rFonts w:ascii="Times New Roman" w:cs="Times New Roman" w:eastAsia="SimSun" w:hAnsi="Times New Roman"/>
                <w:color w:val="1E2832"/>
                <w:sz w:val="19"/>
                <w:szCs w:val="19"/>
              </w:rPr>
              <w:t xml:space="preserve">功能要求</w:t>
            </w:r>
          </w:p>
        </w:tc>
        <w:tc>
          <w:tcPr>
            <w:tcW w:type="dxa" w:w="7500"/>
            <w:tcMar>
              <w:top w:type="dxa" w:w="80"/>
              <w:left w:type="dxa" w:w="110"/>
              <w:bottom w:type="dxa" w:w="80"/>
              <w:right w:type="dxa" w:w="110"/>
            </w:tcMar>
          </w:tcPr>
          <w:p>
            <w:pPr>
              <w:spacing w:after="0" w:line="260"/>
            </w:pPr>
            <w:r>
              <w:rPr>
                <w:rFonts w:ascii="Times New Roman" w:cs="Times New Roman" w:eastAsia="SimSun" w:hAnsi="Times New Roman"/>
                <w:color w:val="1E2832"/>
                <w:sz w:val="19"/>
                <w:szCs w:val="19"/>
              </w:rPr>
              <w:t xml:space="preserve">双向有功 / 无功电能、分时 TOU（尖峰平谷）、最大需量、电压 / 电流 / 功率因数 / 频率、谐波监测</w:t>
            </w:r>
          </w:p>
        </w:tc>
      </w:tr>
      <w:tr>
        <w:tc>
          <w:tcPr>
            <w:tcW w:type="dxa" w:w="1500"/>
            <w:shd w:fill="EEF3F6" w:val="clear"/>
            <w:tcMar>
              <w:top w:type="dxa" w:w="80"/>
              <w:left w:type="dxa" w:w="110"/>
              <w:bottom w:type="dxa" w:w="80"/>
              <w:right w:type="dxa" w:w="110"/>
            </w:tcMar>
          </w:tcPr>
          <w:p>
            <w:pPr>
              <w:spacing w:after="0" w:line="260"/>
            </w:pPr>
            <w:r>
              <w:rPr>
                <w:rFonts w:ascii="Times New Roman" w:cs="Times New Roman" w:eastAsia="SimSun" w:hAnsi="Times New Roman"/>
                <w:color w:val="1E2832"/>
                <w:sz w:val="19"/>
                <w:szCs w:val="19"/>
              </w:rPr>
              <w:t xml:space="preserve">准确度等级</w:t>
            </w:r>
          </w:p>
        </w:tc>
        <w:tc>
          <w:tcPr>
            <w:tcW w:type="dxa" w:w="7500"/>
            <w:tcMar>
              <w:top w:type="dxa" w:w="80"/>
              <w:left w:type="dxa" w:w="110"/>
              <w:bottom w:type="dxa" w:w="80"/>
              <w:right w:type="dxa" w:w="110"/>
            </w:tcMar>
          </w:tcPr>
          <w:p>
            <w:pPr>
              <w:spacing w:after="0" w:line="260"/>
            </w:pPr>
            <w:r>
              <w:rPr>
                <w:rFonts w:ascii="Times New Roman" w:cs="Times New Roman" w:eastAsia="SimSun" w:hAnsi="Times New Roman"/>
                <w:color w:val="1E2832"/>
                <w:sz w:val="19"/>
                <w:szCs w:val="19"/>
              </w:rPr>
              <w:t xml:space="preserve">有功 0.5S 级及以上（结算级）</w:t>
            </w:r>
          </w:p>
        </w:tc>
      </w:tr>
      <w:tr>
        <w:tc>
          <w:tcPr>
            <w:tcW w:type="dxa" w:w="1500"/>
            <w:shd w:fill="EEF3F6" w:val="clear"/>
            <w:tcMar>
              <w:top w:type="dxa" w:w="80"/>
              <w:left w:type="dxa" w:w="110"/>
              <w:bottom w:type="dxa" w:w="80"/>
              <w:right w:type="dxa" w:w="110"/>
            </w:tcMar>
          </w:tcPr>
          <w:p>
            <w:pPr>
              <w:spacing w:after="0" w:line="260"/>
            </w:pPr>
            <w:r>
              <w:rPr>
                <w:rFonts w:ascii="Times New Roman" w:cs="Times New Roman" w:eastAsia="SimSun" w:hAnsi="Times New Roman"/>
                <w:color w:val="1E2832"/>
                <w:sz w:val="19"/>
                <w:szCs w:val="19"/>
              </w:rPr>
              <w:t xml:space="preserve">通信接口</w:t>
            </w:r>
          </w:p>
        </w:tc>
        <w:tc>
          <w:tcPr>
            <w:tcW w:type="dxa" w:w="7500"/>
            <w:tcMar>
              <w:top w:type="dxa" w:w="80"/>
              <w:left w:type="dxa" w:w="110"/>
              <w:bottom w:type="dxa" w:w="80"/>
              <w:right w:type="dxa" w:w="110"/>
            </w:tcMar>
          </w:tcPr>
          <w:p>
            <w:pPr>
              <w:spacing w:after="0" w:line="260"/>
            </w:pPr>
            <w:r>
              <w:rPr>
                <w:rFonts w:ascii="Times New Roman" w:cs="Times New Roman" w:eastAsia="SimSun" w:hAnsi="Times New Roman"/>
                <w:color w:val="1E2832"/>
                <w:sz w:val="19"/>
                <w:szCs w:val="19"/>
              </w:rPr>
              <w:t xml:space="preserve">RS-485（Modbus RTU）或以太网（Modbus TCP）</w:t>
            </w:r>
          </w:p>
        </w:tc>
      </w:tr>
      <w:tr>
        <w:tc>
          <w:tcPr>
            <w:tcW w:type="dxa" w:w="1500"/>
            <w:shd w:fill="EEF3F6" w:val="clear"/>
            <w:tcMar>
              <w:top w:type="dxa" w:w="80"/>
              <w:left w:type="dxa" w:w="110"/>
              <w:bottom w:type="dxa" w:w="80"/>
              <w:right w:type="dxa" w:w="110"/>
            </w:tcMar>
          </w:tcPr>
          <w:p>
            <w:pPr>
              <w:spacing w:after="0" w:line="260"/>
            </w:pPr>
            <w:r>
              <w:rPr>
                <w:rFonts w:ascii="Times New Roman" w:cs="Times New Roman" w:eastAsia="SimSun" w:hAnsi="Times New Roman"/>
                <w:color w:val="1E2832"/>
                <w:sz w:val="19"/>
                <w:szCs w:val="19"/>
              </w:rPr>
              <w:t xml:space="preserve">配套</w:t>
            </w:r>
          </w:p>
        </w:tc>
        <w:tc>
          <w:tcPr>
            <w:tcW w:type="dxa" w:w="7500"/>
            <w:tcMar>
              <w:top w:type="dxa" w:w="80"/>
              <w:left w:type="dxa" w:w="110"/>
              <w:bottom w:type="dxa" w:w="80"/>
              <w:right w:type="dxa" w:w="110"/>
            </w:tcMar>
          </w:tcPr>
          <w:p>
            <w:pPr>
              <w:spacing w:after="0" w:line="260"/>
            </w:pPr>
            <w:r>
              <w:rPr>
                <w:rFonts w:ascii="Times New Roman" w:cs="Times New Roman" w:eastAsia="SimSun" w:hAnsi="Times New Roman"/>
                <w:color w:val="1E2832"/>
                <w:sz w:val="19"/>
                <w:szCs w:val="19"/>
              </w:rPr>
              <w:t xml:space="preserve">电流互感器变比录入系统，由系统自动还原一次侧读数</w:t>
            </w:r>
          </w:p>
        </w:tc>
      </w:tr>
    </w:tbl>
    <w:p>
      <w:pPr>
        <w:pStyle w:val="Heading2"/>
        <w:spacing w:after="140" w:before="280"/>
      </w:pPr>
      <w:r>
        <w:rPr>
          <w:rFonts w:ascii="Arial" w:cs="Arial" w:eastAsia="Microsoft YaHei" w:hAnsi="Arial"/>
          <w:b/>
          <w:bCs/>
          <w:color w:val="1E2832"/>
          <w:sz w:val="26"/>
          <w:szCs w:val="26"/>
        </w:rPr>
        <w:t xml:space="preserve">6.4 分项 / 子项导轨式电表（选型技术要求）</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7500"/>
      </w:tblGrid>
      <w:tr>
        <w:tc>
          <w:tcPr>
            <w:tcW w:type="dxa" w:w="1500"/>
            <w:shd w:fill="EEF3F6" w:val="clear"/>
            <w:tcMar>
              <w:top w:type="dxa" w:w="80"/>
              <w:left w:type="dxa" w:w="110"/>
              <w:bottom w:type="dxa" w:w="80"/>
              <w:right w:type="dxa" w:w="110"/>
            </w:tcMar>
          </w:tcPr>
          <w:p>
            <w:pPr>
              <w:spacing w:after="0" w:line="260"/>
            </w:pPr>
            <w:r>
              <w:rPr>
                <w:rFonts w:ascii="Times New Roman" w:cs="Times New Roman" w:eastAsia="SimSun" w:hAnsi="Times New Roman"/>
                <w:color w:val="1E2832"/>
                <w:sz w:val="19"/>
                <w:szCs w:val="19"/>
              </w:rPr>
              <w:t xml:space="preserve">功能要求</w:t>
            </w:r>
          </w:p>
        </w:tc>
        <w:tc>
          <w:tcPr>
            <w:tcW w:type="dxa" w:w="7500"/>
            <w:tcMar>
              <w:top w:type="dxa" w:w="80"/>
              <w:left w:type="dxa" w:w="110"/>
              <w:bottom w:type="dxa" w:w="80"/>
              <w:right w:type="dxa" w:w="110"/>
            </w:tcMar>
          </w:tcPr>
          <w:p>
            <w:pPr>
              <w:spacing w:after="0" w:line="260"/>
            </w:pPr>
            <w:r>
              <w:rPr>
                <w:rFonts w:ascii="Times New Roman" w:cs="Times New Roman" w:eastAsia="SimSun" w:hAnsi="Times New Roman"/>
                <w:color w:val="1E2832"/>
                <w:sz w:val="19"/>
                <w:szCs w:val="19"/>
              </w:rPr>
              <w:t xml:space="preserve">正向有功电能、需量、电压 / 电流 / 功率</w:t>
            </w:r>
          </w:p>
        </w:tc>
      </w:tr>
      <w:tr>
        <w:tc>
          <w:tcPr>
            <w:tcW w:type="dxa" w:w="1500"/>
            <w:shd w:fill="EEF3F6" w:val="clear"/>
            <w:tcMar>
              <w:top w:type="dxa" w:w="80"/>
              <w:left w:type="dxa" w:w="110"/>
              <w:bottom w:type="dxa" w:w="80"/>
              <w:right w:type="dxa" w:w="110"/>
            </w:tcMar>
          </w:tcPr>
          <w:p>
            <w:pPr>
              <w:spacing w:after="0" w:line="260"/>
            </w:pPr>
            <w:r>
              <w:rPr>
                <w:rFonts w:ascii="Times New Roman" w:cs="Times New Roman" w:eastAsia="SimSun" w:hAnsi="Times New Roman"/>
                <w:color w:val="1E2832"/>
                <w:sz w:val="19"/>
                <w:szCs w:val="19"/>
              </w:rPr>
              <w:t xml:space="preserve">准确度等级</w:t>
            </w:r>
          </w:p>
        </w:tc>
        <w:tc>
          <w:tcPr>
            <w:tcW w:type="dxa" w:w="7500"/>
            <w:tcMar>
              <w:top w:type="dxa" w:w="80"/>
              <w:left w:type="dxa" w:w="110"/>
              <w:bottom w:type="dxa" w:w="80"/>
              <w:right w:type="dxa" w:w="110"/>
            </w:tcMar>
          </w:tcPr>
          <w:p>
            <w:pPr>
              <w:spacing w:after="0" w:line="260"/>
            </w:pPr>
            <w:r>
              <w:rPr>
                <w:rFonts w:ascii="Times New Roman" w:cs="Times New Roman" w:eastAsia="SimSun" w:hAnsi="Times New Roman"/>
                <w:color w:val="1E2832"/>
                <w:sz w:val="19"/>
                <w:szCs w:val="19"/>
              </w:rPr>
              <w:t xml:space="preserve">有功 1 级及以上</w:t>
            </w:r>
          </w:p>
        </w:tc>
      </w:tr>
      <w:tr>
        <w:tc>
          <w:tcPr>
            <w:tcW w:type="dxa" w:w="1500"/>
            <w:shd w:fill="EEF3F6" w:val="clear"/>
            <w:tcMar>
              <w:top w:type="dxa" w:w="80"/>
              <w:left w:type="dxa" w:w="110"/>
              <w:bottom w:type="dxa" w:w="80"/>
              <w:right w:type="dxa" w:w="110"/>
            </w:tcMar>
          </w:tcPr>
          <w:p>
            <w:pPr>
              <w:spacing w:after="0" w:line="260"/>
            </w:pPr>
            <w:r>
              <w:rPr>
                <w:rFonts w:ascii="Times New Roman" w:cs="Times New Roman" w:eastAsia="SimSun" w:hAnsi="Times New Roman"/>
                <w:color w:val="1E2832"/>
                <w:sz w:val="19"/>
                <w:szCs w:val="19"/>
              </w:rPr>
              <w:t xml:space="preserve">安装方式</w:t>
            </w:r>
          </w:p>
        </w:tc>
        <w:tc>
          <w:tcPr>
            <w:tcW w:type="dxa" w:w="7500"/>
            <w:tcMar>
              <w:top w:type="dxa" w:w="80"/>
              <w:left w:type="dxa" w:w="110"/>
              <w:bottom w:type="dxa" w:w="80"/>
              <w:right w:type="dxa" w:w="110"/>
            </w:tcMar>
          </w:tcPr>
          <w:p>
            <w:pPr>
              <w:spacing w:after="0" w:line="260"/>
            </w:pPr>
            <w:r>
              <w:rPr>
                <w:rFonts w:ascii="Times New Roman" w:cs="Times New Roman" w:eastAsia="SimSun" w:hAnsi="Times New Roman"/>
                <w:color w:val="1E2832"/>
                <w:sz w:val="19"/>
                <w:szCs w:val="19"/>
              </w:rPr>
              <w:t xml:space="preserve">35mm DIN 导轨安装</w:t>
            </w:r>
          </w:p>
        </w:tc>
      </w:tr>
      <w:tr>
        <w:tc>
          <w:tcPr>
            <w:tcW w:type="dxa" w:w="1500"/>
            <w:shd w:fill="EEF3F6" w:val="clear"/>
            <w:tcMar>
              <w:top w:type="dxa" w:w="80"/>
              <w:left w:type="dxa" w:w="110"/>
              <w:bottom w:type="dxa" w:w="80"/>
              <w:right w:type="dxa" w:w="110"/>
            </w:tcMar>
          </w:tcPr>
          <w:p>
            <w:pPr>
              <w:spacing w:after="0" w:line="260"/>
            </w:pPr>
            <w:r>
              <w:rPr>
                <w:rFonts w:ascii="Times New Roman" w:cs="Times New Roman" w:eastAsia="SimSun" w:hAnsi="Times New Roman"/>
                <w:color w:val="1E2832"/>
                <w:sz w:val="19"/>
                <w:szCs w:val="19"/>
              </w:rPr>
              <w:t xml:space="preserve">通信接口</w:t>
            </w:r>
          </w:p>
        </w:tc>
        <w:tc>
          <w:tcPr>
            <w:tcW w:type="dxa" w:w="7500"/>
            <w:tcMar>
              <w:top w:type="dxa" w:w="80"/>
              <w:left w:type="dxa" w:w="110"/>
              <w:bottom w:type="dxa" w:w="80"/>
              <w:right w:type="dxa" w:w="110"/>
            </w:tcMar>
          </w:tcPr>
          <w:p>
            <w:pPr>
              <w:spacing w:after="0" w:line="260"/>
            </w:pPr>
            <w:r>
              <w:rPr>
                <w:rFonts w:ascii="Times New Roman" w:cs="Times New Roman" w:eastAsia="SimSun" w:hAnsi="Times New Roman"/>
                <w:color w:val="1E2832"/>
                <w:sz w:val="19"/>
                <w:szCs w:val="19"/>
              </w:rPr>
              <w:t xml:space="preserve">RS-485（Modbus RTU），每条总线不超过 32 块</w:t>
            </w:r>
          </w:p>
        </w:tc>
      </w:tr>
    </w:tbl>
    <w:p>
      <w:pPr>
        <w:pStyle w:val="Heading2"/>
        <w:spacing w:after="140" w:before="280"/>
      </w:pPr>
      <w:r>
        <w:rPr>
          <w:rFonts w:ascii="Arial" w:cs="Arial" w:eastAsia="Microsoft YaHei" w:hAnsi="Arial"/>
          <w:b/>
          <w:bCs/>
          <w:color w:val="1E2832"/>
          <w:sz w:val="26"/>
          <w:szCs w:val="26"/>
        </w:rPr>
        <w:t xml:space="preserve">6.5 智能水表（选型技术要求）</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7500"/>
      </w:tblGrid>
      <w:tr>
        <w:tc>
          <w:tcPr>
            <w:tcW w:type="dxa" w:w="1500"/>
            <w:shd w:fill="EEF3F6" w:val="clear"/>
            <w:tcMar>
              <w:top w:type="dxa" w:w="80"/>
              <w:left w:type="dxa" w:w="110"/>
              <w:bottom w:type="dxa" w:w="80"/>
              <w:right w:type="dxa" w:w="110"/>
            </w:tcMar>
          </w:tcPr>
          <w:p>
            <w:pPr>
              <w:spacing w:after="0" w:line="260"/>
            </w:pPr>
            <w:r>
              <w:rPr>
                <w:rFonts w:ascii="Times New Roman" w:cs="Times New Roman" w:eastAsia="SimSun" w:hAnsi="Times New Roman"/>
                <w:color w:val="1E2832"/>
                <w:sz w:val="19"/>
                <w:szCs w:val="19"/>
              </w:rPr>
              <w:t xml:space="preserve">功能要求</w:t>
            </w:r>
          </w:p>
        </w:tc>
        <w:tc>
          <w:tcPr>
            <w:tcW w:type="dxa" w:w="7500"/>
            <w:tcMar>
              <w:top w:type="dxa" w:w="80"/>
              <w:left w:type="dxa" w:w="110"/>
              <w:bottom w:type="dxa" w:w="80"/>
              <w:right w:type="dxa" w:w="110"/>
            </w:tcMar>
          </w:tcPr>
          <w:p>
            <w:pPr>
              <w:spacing w:after="0" w:line="260"/>
            </w:pPr>
            <w:r>
              <w:rPr>
                <w:rFonts w:ascii="Times New Roman" w:cs="Times New Roman" w:eastAsia="SimSun" w:hAnsi="Times New Roman"/>
                <w:color w:val="1E2832"/>
                <w:sz w:val="19"/>
                <w:szCs w:val="19"/>
              </w:rPr>
              <w:t xml:space="preserve">累积流量、瞬时流量，支持远传抄表</w:t>
            </w:r>
          </w:p>
        </w:tc>
      </w:tr>
      <w:tr>
        <w:tc>
          <w:tcPr>
            <w:tcW w:type="dxa" w:w="1500"/>
            <w:shd w:fill="EEF3F6" w:val="clear"/>
            <w:tcMar>
              <w:top w:type="dxa" w:w="80"/>
              <w:left w:type="dxa" w:w="110"/>
              <w:bottom w:type="dxa" w:w="80"/>
              <w:right w:type="dxa" w:w="110"/>
            </w:tcMar>
          </w:tcPr>
          <w:p>
            <w:pPr>
              <w:spacing w:after="0" w:line="260"/>
            </w:pPr>
            <w:r>
              <w:rPr>
                <w:rFonts w:ascii="Times New Roman" w:cs="Times New Roman" w:eastAsia="SimSun" w:hAnsi="Times New Roman"/>
                <w:color w:val="1E2832"/>
                <w:sz w:val="19"/>
                <w:szCs w:val="19"/>
              </w:rPr>
              <w:t xml:space="preserve">通信接口</w:t>
            </w:r>
          </w:p>
        </w:tc>
        <w:tc>
          <w:tcPr>
            <w:tcW w:type="dxa" w:w="7500"/>
            <w:tcMar>
              <w:top w:type="dxa" w:w="80"/>
              <w:left w:type="dxa" w:w="110"/>
              <w:bottom w:type="dxa" w:w="80"/>
              <w:right w:type="dxa" w:w="110"/>
            </w:tcMar>
          </w:tcPr>
          <w:p>
            <w:pPr>
              <w:spacing w:after="0" w:line="260"/>
            </w:pPr>
            <w:r>
              <w:rPr>
                <w:rFonts w:ascii="Times New Roman" w:cs="Times New Roman" w:eastAsia="SimSun" w:hAnsi="Times New Roman"/>
                <w:color w:val="1E2832"/>
                <w:sz w:val="19"/>
                <w:szCs w:val="19"/>
              </w:rPr>
              <w:t xml:space="preserve">M-Bus 或 RS-485</w:t>
            </w:r>
          </w:p>
        </w:tc>
      </w:tr>
      <w:tr>
        <w:tc>
          <w:tcPr>
            <w:tcW w:type="dxa" w:w="1500"/>
            <w:shd w:fill="EEF3F6" w:val="clear"/>
            <w:tcMar>
              <w:top w:type="dxa" w:w="80"/>
              <w:left w:type="dxa" w:w="110"/>
              <w:bottom w:type="dxa" w:w="80"/>
              <w:right w:type="dxa" w:w="110"/>
            </w:tcMar>
          </w:tcPr>
          <w:p>
            <w:pPr>
              <w:spacing w:after="0" w:line="260"/>
            </w:pPr>
            <w:r>
              <w:rPr>
                <w:rFonts w:ascii="Times New Roman" w:cs="Times New Roman" w:eastAsia="SimSun" w:hAnsi="Times New Roman"/>
                <w:color w:val="1E2832"/>
                <w:sz w:val="19"/>
                <w:szCs w:val="19"/>
              </w:rPr>
              <w:t xml:space="preserve">供电</w:t>
            </w:r>
          </w:p>
        </w:tc>
        <w:tc>
          <w:tcPr>
            <w:tcW w:type="dxa" w:w="7500"/>
            <w:tcMar>
              <w:top w:type="dxa" w:w="80"/>
              <w:left w:type="dxa" w:w="110"/>
              <w:bottom w:type="dxa" w:w="80"/>
              <w:right w:type="dxa" w:w="110"/>
            </w:tcMar>
          </w:tcPr>
          <w:p>
            <w:pPr>
              <w:spacing w:after="0" w:line="260"/>
            </w:pPr>
            <w:r>
              <w:rPr>
                <w:rFonts w:ascii="Times New Roman" w:cs="Times New Roman" w:eastAsia="SimSun" w:hAnsi="Times New Roman"/>
                <w:color w:val="1E2832"/>
                <w:sz w:val="19"/>
                <w:szCs w:val="19"/>
              </w:rPr>
              <w:t xml:space="preserve">电池或总线供电，电池寿命 ≥ 6 年</w:t>
            </w:r>
          </w:p>
        </w:tc>
      </w:tr>
    </w:tbl>
    <w:p>
      <w:pPr>
        <w:pStyle w:val="Heading2"/>
        <w:spacing w:after="140" w:before="280"/>
      </w:pPr>
      <w:r>
        <w:rPr>
          <w:rFonts w:ascii="Arial" w:cs="Arial" w:eastAsia="Microsoft YaHei" w:hAnsi="Arial"/>
          <w:b/>
          <w:bCs/>
          <w:color w:val="1E2832"/>
          <w:sz w:val="26"/>
          <w:szCs w:val="26"/>
        </w:rPr>
        <w:t xml:space="preserve">6.6 超声波冷热量表（选型技术要求）</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7500"/>
      </w:tblGrid>
      <w:tr>
        <w:tc>
          <w:tcPr>
            <w:tcW w:type="dxa" w:w="1500"/>
            <w:shd w:fill="EEF3F6" w:val="clear"/>
            <w:tcMar>
              <w:top w:type="dxa" w:w="80"/>
              <w:left w:type="dxa" w:w="110"/>
              <w:bottom w:type="dxa" w:w="80"/>
              <w:right w:type="dxa" w:w="110"/>
            </w:tcMar>
          </w:tcPr>
          <w:p>
            <w:pPr>
              <w:spacing w:after="0" w:line="260"/>
            </w:pPr>
            <w:r>
              <w:rPr>
                <w:rFonts w:ascii="Times New Roman" w:cs="Times New Roman" w:eastAsia="SimSun" w:hAnsi="Times New Roman"/>
                <w:color w:val="1E2832"/>
                <w:sz w:val="19"/>
                <w:szCs w:val="19"/>
              </w:rPr>
              <w:t xml:space="preserve">功能要求</w:t>
            </w:r>
          </w:p>
        </w:tc>
        <w:tc>
          <w:tcPr>
            <w:tcW w:type="dxa" w:w="7500"/>
            <w:tcMar>
              <w:top w:type="dxa" w:w="80"/>
              <w:left w:type="dxa" w:w="110"/>
              <w:bottom w:type="dxa" w:w="80"/>
              <w:right w:type="dxa" w:w="110"/>
            </w:tcMar>
          </w:tcPr>
          <w:p>
            <w:pPr>
              <w:spacing w:after="0" w:line="260"/>
            </w:pPr>
            <w:r>
              <w:rPr>
                <w:rFonts w:ascii="Times New Roman" w:cs="Times New Roman" w:eastAsia="SimSun" w:hAnsi="Times New Roman"/>
                <w:color w:val="1E2832"/>
                <w:sz w:val="19"/>
                <w:szCs w:val="19"/>
              </w:rPr>
              <w:t xml:space="preserve">累积冷 / 热量、瞬时功率、供回水温度、流量</w:t>
            </w:r>
          </w:p>
        </w:tc>
      </w:tr>
      <w:tr>
        <w:tc>
          <w:tcPr>
            <w:tcW w:type="dxa" w:w="1500"/>
            <w:shd w:fill="EEF3F6" w:val="clear"/>
            <w:tcMar>
              <w:top w:type="dxa" w:w="80"/>
              <w:left w:type="dxa" w:w="110"/>
              <w:bottom w:type="dxa" w:w="80"/>
              <w:right w:type="dxa" w:w="110"/>
            </w:tcMar>
          </w:tcPr>
          <w:p>
            <w:pPr>
              <w:spacing w:after="0" w:line="260"/>
            </w:pPr>
            <w:r>
              <w:rPr>
                <w:rFonts w:ascii="Times New Roman" w:cs="Times New Roman" w:eastAsia="SimSun" w:hAnsi="Times New Roman"/>
                <w:color w:val="1E2832"/>
                <w:sz w:val="19"/>
                <w:szCs w:val="19"/>
              </w:rPr>
              <w:t xml:space="preserve">准确度等级</w:t>
            </w:r>
          </w:p>
        </w:tc>
        <w:tc>
          <w:tcPr>
            <w:tcW w:type="dxa" w:w="7500"/>
            <w:tcMar>
              <w:top w:type="dxa" w:w="80"/>
              <w:left w:type="dxa" w:w="110"/>
              <w:bottom w:type="dxa" w:w="80"/>
              <w:right w:type="dxa" w:w="110"/>
            </w:tcMar>
          </w:tcPr>
          <w:p>
            <w:pPr>
              <w:spacing w:after="0" w:line="260"/>
            </w:pPr>
            <w:r>
              <w:rPr>
                <w:rFonts w:ascii="Times New Roman" w:cs="Times New Roman" w:eastAsia="SimSun" w:hAnsi="Times New Roman"/>
                <w:color w:val="1E2832"/>
                <w:sz w:val="19"/>
                <w:szCs w:val="19"/>
              </w:rPr>
              <w:t xml:space="preserve">2 级及以上</w:t>
            </w:r>
          </w:p>
        </w:tc>
      </w:tr>
      <w:tr>
        <w:tc>
          <w:tcPr>
            <w:tcW w:type="dxa" w:w="1500"/>
            <w:shd w:fill="EEF3F6" w:val="clear"/>
            <w:tcMar>
              <w:top w:type="dxa" w:w="80"/>
              <w:left w:type="dxa" w:w="110"/>
              <w:bottom w:type="dxa" w:w="80"/>
              <w:right w:type="dxa" w:w="110"/>
            </w:tcMar>
          </w:tcPr>
          <w:p>
            <w:pPr>
              <w:spacing w:after="0" w:line="260"/>
            </w:pPr>
            <w:r>
              <w:rPr>
                <w:rFonts w:ascii="Times New Roman" w:cs="Times New Roman" w:eastAsia="SimSun" w:hAnsi="Times New Roman"/>
                <w:color w:val="1E2832"/>
                <w:sz w:val="19"/>
                <w:szCs w:val="19"/>
              </w:rPr>
              <w:t xml:space="preserve">通信接口</w:t>
            </w:r>
          </w:p>
        </w:tc>
        <w:tc>
          <w:tcPr>
            <w:tcW w:type="dxa" w:w="7500"/>
            <w:tcMar>
              <w:top w:type="dxa" w:w="80"/>
              <w:left w:type="dxa" w:w="110"/>
              <w:bottom w:type="dxa" w:w="80"/>
              <w:right w:type="dxa" w:w="110"/>
            </w:tcMar>
          </w:tcPr>
          <w:p>
            <w:pPr>
              <w:spacing w:after="0" w:line="260"/>
            </w:pPr>
            <w:r>
              <w:rPr>
                <w:rFonts w:ascii="Times New Roman" w:cs="Times New Roman" w:eastAsia="SimSun" w:hAnsi="Times New Roman"/>
                <w:color w:val="1E2832"/>
                <w:sz w:val="19"/>
                <w:szCs w:val="19"/>
              </w:rPr>
              <w:t xml:space="preserve">M-Bus 或 RS-485（Modbus RTU）</w:t>
            </w:r>
          </w:p>
        </w:tc>
      </w:tr>
    </w:tbl>
    <w:p>
      <w:pPr>
        <w:pStyle w:val="Heading2"/>
        <w:spacing w:after="140" w:before="280"/>
      </w:pPr>
      <w:r>
        <w:rPr>
          <w:rFonts w:ascii="Arial" w:cs="Arial" w:eastAsia="Microsoft YaHei" w:hAnsi="Arial"/>
          <w:b/>
          <w:bCs/>
          <w:color w:val="1E2832"/>
          <w:sz w:val="26"/>
          <w:szCs w:val="26"/>
        </w:rPr>
        <w:t xml:space="preserve">6.7 采集器 / 网关（选型技术要求）</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7500"/>
      </w:tblGrid>
      <w:tr>
        <w:tc>
          <w:tcPr>
            <w:tcW w:type="dxa" w:w="1500"/>
            <w:shd w:fill="EEF3F6" w:val="clear"/>
            <w:tcMar>
              <w:top w:type="dxa" w:w="80"/>
              <w:left w:type="dxa" w:w="110"/>
              <w:bottom w:type="dxa" w:w="80"/>
              <w:right w:type="dxa" w:w="110"/>
            </w:tcMar>
          </w:tcPr>
          <w:p>
            <w:pPr>
              <w:spacing w:after="0" w:line="260"/>
            </w:pPr>
            <w:r>
              <w:rPr>
                <w:rFonts w:ascii="Times New Roman" w:cs="Times New Roman" w:eastAsia="SimSun" w:hAnsi="Times New Roman"/>
                <w:color w:val="1E2832"/>
                <w:sz w:val="19"/>
                <w:szCs w:val="19"/>
              </w:rPr>
              <w:t xml:space="preserve">Modbus 网关</w:t>
            </w:r>
          </w:p>
        </w:tc>
        <w:tc>
          <w:tcPr>
            <w:tcW w:type="dxa" w:w="7500"/>
            <w:tcMar>
              <w:top w:type="dxa" w:w="80"/>
              <w:left w:type="dxa" w:w="110"/>
              <w:bottom w:type="dxa" w:w="80"/>
              <w:right w:type="dxa" w:w="110"/>
            </w:tcMar>
          </w:tcPr>
          <w:p>
            <w:pPr>
              <w:spacing w:after="0" w:line="260"/>
            </w:pPr>
            <w:r>
              <w:rPr>
                <w:rFonts w:ascii="Times New Roman" w:cs="Times New Roman" w:eastAsia="SimSun" w:hAnsi="Times New Roman"/>
                <w:color w:val="1E2832"/>
                <w:sz w:val="19"/>
                <w:szCs w:val="19"/>
              </w:rPr>
              <w:t xml:space="preserve">RS-485 转以太网，支持 Modbus RTU → Modbus TCP 透传或轮询缓存</w:t>
            </w:r>
          </w:p>
        </w:tc>
      </w:tr>
      <w:tr>
        <w:tc>
          <w:tcPr>
            <w:tcW w:type="dxa" w:w="1500"/>
            <w:shd w:fill="EEF3F6" w:val="clear"/>
            <w:tcMar>
              <w:top w:type="dxa" w:w="80"/>
              <w:left w:type="dxa" w:w="110"/>
              <w:bottom w:type="dxa" w:w="80"/>
              <w:right w:type="dxa" w:w="110"/>
            </w:tcMar>
          </w:tcPr>
          <w:p>
            <w:pPr>
              <w:spacing w:after="0" w:line="260"/>
            </w:pPr>
            <w:r>
              <w:rPr>
                <w:rFonts w:ascii="Times New Roman" w:cs="Times New Roman" w:eastAsia="SimSun" w:hAnsi="Times New Roman"/>
                <w:color w:val="1E2832"/>
                <w:sz w:val="19"/>
                <w:szCs w:val="19"/>
              </w:rPr>
              <w:t xml:space="preserve">M-Bus 采集器</w:t>
            </w:r>
          </w:p>
        </w:tc>
        <w:tc>
          <w:tcPr>
            <w:tcW w:type="dxa" w:w="7500"/>
            <w:tcMar>
              <w:top w:type="dxa" w:w="80"/>
              <w:left w:type="dxa" w:w="110"/>
              <w:bottom w:type="dxa" w:w="80"/>
              <w:right w:type="dxa" w:w="110"/>
            </w:tcMar>
          </w:tcPr>
          <w:p>
            <w:pPr>
              <w:spacing w:after="0" w:line="260"/>
            </w:pPr>
            <w:r>
              <w:rPr>
                <w:rFonts w:ascii="Times New Roman" w:cs="Times New Roman" w:eastAsia="SimSun" w:hAnsi="Times New Roman"/>
                <w:color w:val="1E2832"/>
                <w:sz w:val="19"/>
                <w:szCs w:val="19"/>
              </w:rPr>
              <w:t xml:space="preserve">M-Bus 总线数据采集转以太网；NEXIO 直连 5 台以内可免采集器</w:t>
            </w:r>
          </w:p>
        </w:tc>
      </w:tr>
      <w:tr>
        <w:tc>
          <w:tcPr>
            <w:tcW w:type="dxa" w:w="1500"/>
            <w:shd w:fill="EEF3F6" w:val="clear"/>
            <w:tcMar>
              <w:top w:type="dxa" w:w="80"/>
              <w:left w:type="dxa" w:w="110"/>
              <w:bottom w:type="dxa" w:w="80"/>
              <w:right w:type="dxa" w:w="110"/>
            </w:tcMar>
          </w:tcPr>
          <w:p>
            <w:pPr>
              <w:spacing w:after="0" w:line="260"/>
            </w:pPr>
            <w:r>
              <w:rPr>
                <w:rFonts w:ascii="Times New Roman" w:cs="Times New Roman" w:eastAsia="SimSun" w:hAnsi="Times New Roman"/>
                <w:color w:val="1E2832"/>
                <w:sz w:val="19"/>
                <w:szCs w:val="19"/>
              </w:rPr>
              <w:t xml:space="preserve">4G DTU</w:t>
            </w:r>
          </w:p>
        </w:tc>
        <w:tc>
          <w:tcPr>
            <w:tcW w:type="dxa" w:w="7500"/>
            <w:tcMar>
              <w:top w:type="dxa" w:w="80"/>
              <w:left w:type="dxa" w:w="110"/>
              <w:bottom w:type="dxa" w:w="80"/>
              <w:right w:type="dxa" w:w="110"/>
            </w:tcMar>
          </w:tcPr>
          <w:p>
            <w:pPr>
              <w:spacing w:after="0" w:line="260"/>
            </w:pPr>
            <w:r>
              <w:rPr>
                <w:rFonts w:ascii="Times New Roman" w:cs="Times New Roman" w:eastAsia="SimSun" w:hAnsi="Times New Roman"/>
                <w:color w:val="1E2832"/>
                <w:sz w:val="19"/>
                <w:szCs w:val="19"/>
              </w:rPr>
              <w:t xml:space="preserve">无内网区域数据回传，支持断点续传</w:t>
            </w:r>
          </w:p>
        </w:tc>
      </w:tr>
    </w:tbl>
    <w:p>
      <w:pPr>
        <w:pStyle w:val="Heading2"/>
        <w:spacing w:after="140" w:before="280"/>
      </w:pPr>
      <w:r>
        <w:rPr>
          <w:rFonts w:ascii="Arial" w:cs="Arial" w:eastAsia="Microsoft YaHei" w:hAnsi="Arial"/>
          <w:b/>
          <w:bCs/>
          <w:color w:val="1E2832"/>
          <w:sz w:val="26"/>
          <w:szCs w:val="26"/>
        </w:rPr>
        <w:t xml:space="preserve">6.8 嵌入式触摸屏（选型技术要求）</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7500"/>
      </w:tblGrid>
      <w:tr>
        <w:tc>
          <w:tcPr>
            <w:tcW w:type="dxa" w:w="1500"/>
            <w:shd w:fill="EEF3F6" w:val="clear"/>
            <w:tcMar>
              <w:top w:type="dxa" w:w="80"/>
              <w:left w:type="dxa" w:w="110"/>
              <w:bottom w:type="dxa" w:w="80"/>
              <w:right w:type="dxa" w:w="110"/>
            </w:tcMar>
          </w:tcPr>
          <w:p>
            <w:pPr>
              <w:spacing w:after="0" w:line="260"/>
            </w:pPr>
            <w:r>
              <w:rPr>
                <w:rFonts w:ascii="Times New Roman" w:cs="Times New Roman" w:eastAsia="SimSun" w:hAnsi="Times New Roman"/>
                <w:color w:val="1E2832"/>
                <w:sz w:val="19"/>
                <w:szCs w:val="19"/>
              </w:rPr>
              <w:t xml:space="preserve">用途</w:t>
            </w:r>
          </w:p>
        </w:tc>
        <w:tc>
          <w:tcPr>
            <w:tcW w:type="dxa" w:w="7500"/>
            <w:tcMar>
              <w:top w:type="dxa" w:w="80"/>
              <w:left w:type="dxa" w:w="110"/>
              <w:bottom w:type="dxa" w:w="80"/>
              <w:right w:type="dxa" w:w="110"/>
            </w:tcMar>
          </w:tcPr>
          <w:p>
            <w:pPr>
              <w:spacing w:after="0" w:line="260"/>
            </w:pPr>
            <w:r>
              <w:rPr>
                <w:rFonts w:ascii="Times New Roman" w:cs="Times New Roman" w:eastAsia="SimSun" w:hAnsi="Times New Roman"/>
                <w:color w:val="1E2832"/>
                <w:sz w:val="19"/>
                <w:szCs w:val="19"/>
              </w:rPr>
              <w:t xml:space="preserve">能源运行监控中心本地值守：实时负荷、告警事件流、平衡校核状态</w:t>
            </w:r>
          </w:p>
        </w:tc>
      </w:tr>
      <w:tr>
        <w:tc>
          <w:tcPr>
            <w:tcW w:type="dxa" w:w="1500"/>
            <w:shd w:fill="EEF3F6" w:val="clear"/>
            <w:tcMar>
              <w:top w:type="dxa" w:w="80"/>
              <w:left w:type="dxa" w:w="110"/>
              <w:bottom w:type="dxa" w:w="80"/>
              <w:right w:type="dxa" w:w="110"/>
            </w:tcMar>
          </w:tcPr>
          <w:p>
            <w:pPr>
              <w:spacing w:after="0" w:line="260"/>
            </w:pPr>
            <w:r>
              <w:rPr>
                <w:rFonts w:ascii="Times New Roman" w:cs="Times New Roman" w:eastAsia="SimSun" w:hAnsi="Times New Roman"/>
                <w:color w:val="1E2832"/>
                <w:sz w:val="19"/>
                <w:szCs w:val="19"/>
              </w:rPr>
              <w:t xml:space="preserve">规格</w:t>
            </w:r>
          </w:p>
        </w:tc>
        <w:tc>
          <w:tcPr>
            <w:tcW w:type="dxa" w:w="7500"/>
            <w:tcMar>
              <w:top w:type="dxa" w:w="80"/>
              <w:left w:type="dxa" w:w="110"/>
              <w:bottom w:type="dxa" w:w="80"/>
              <w:right w:type="dxa" w:w="110"/>
            </w:tcMar>
          </w:tcPr>
          <w:p>
            <w:pPr>
              <w:spacing w:after="0" w:line="260"/>
            </w:pPr>
            <w:r>
              <w:rPr>
                <w:rFonts w:ascii="Times New Roman" w:cs="Times New Roman" w:eastAsia="SimSun" w:hAnsi="Times New Roman"/>
                <w:color w:val="1E2832"/>
                <w:sz w:val="19"/>
                <w:szCs w:val="19"/>
              </w:rPr>
              <w:t xml:space="preserve">10 寸及以上工业触摸屏，以太网接入，浏览器内核展示</w:t>
            </w:r>
          </w:p>
        </w:tc>
      </w:tr>
    </w:tbl>
    <w:p>
      <w:pPr>
        <w:pStyle w:val="Heading1"/>
        <w:spacing w:after="180" w:before="360"/>
      </w:pPr>
      <w:r>
        <w:rPr>
          <w:rFonts w:ascii="Arial" w:cs="Arial" w:eastAsia="Microsoft YaHei" w:hAnsi="Arial"/>
          <w:b/>
          <w:bCs/>
          <w:color w:val="0B5F77"/>
          <w:sz w:val="32"/>
          <w:szCs w:val="32"/>
        </w:rPr>
        <w:t xml:space="preserve">七、数据治理十条铁律</w:t>
      </w:r>
    </w:p>
    <w:p>
      <w:pPr>
        <w:spacing w:after="120" w:line="320"/>
        <w:ind w:firstLine="504"/>
      </w:pPr>
      <w:r>
        <w:rPr>
          <w:rFonts w:ascii="Times New Roman" w:cs="Times New Roman" w:eastAsia="SimSun" w:hAnsi="Times New Roman"/>
          <w:color w:val="1E2832"/>
          <w:sz w:val="21"/>
          <w:szCs w:val="21"/>
        </w:rPr>
        <w:t xml:space="preserve">下列铁律是系统的数据纪律，每一条在代码中均有强制点与单元测试：</w:t>
      </w:r>
    </w:p>
    <w:p>
      <w:pPr>
        <w:spacing w:after="120" w:line="320"/>
        <w:ind w:firstLine="504"/>
      </w:pPr>
      <w:r>
        <w:rPr>
          <w:rFonts w:ascii="Times New Roman" w:cs="Times New Roman" w:eastAsia="SimSun" w:hAnsi="Times New Roman"/>
          <w:color w:val="1E2832"/>
          <w:sz w:val="21"/>
          <w:szCs w:val="21"/>
        </w:rPr>
        <w:t xml:space="preserve">铁律 1：一切能耗归属唯一表计（EmMeter），禁止裸点直接入账。</w:t>
      </w:r>
    </w:p>
    <w:p>
      <w:pPr>
        <w:spacing w:after="120" w:line="320"/>
        <w:ind w:firstLine="504"/>
      </w:pPr>
      <w:r>
        <w:rPr>
          <w:rFonts w:ascii="Times New Roman" w:cs="Times New Roman" w:eastAsia="SimSun" w:hAnsi="Times New Roman"/>
          <w:color w:val="1E2832"/>
          <w:sz w:val="21"/>
          <w:szCs w:val="21"/>
        </w:rPr>
        <w:t xml:space="preserve">铁律 2：同介质计量有向无环图，禁止跨介质挂接。</w:t>
      </w:r>
    </w:p>
    <w:p>
      <w:pPr>
        <w:spacing w:after="120" w:line="320"/>
        <w:ind w:firstLine="504"/>
      </w:pPr>
      <w:r>
        <w:rPr>
          <w:rFonts w:ascii="Times New Roman" w:cs="Times New Roman" w:eastAsia="SimSun" w:hAnsi="Times New Roman"/>
          <w:color w:val="1E2832"/>
          <w:sz w:val="21"/>
          <w:szCs w:val="21"/>
        </w:rPr>
        <w:t xml:space="preserve">铁律 3：物理表与虚拟表同构，上层业务无感。</w:t>
      </w:r>
    </w:p>
    <w:p>
      <w:pPr>
        <w:spacing w:after="120" w:line="320"/>
        <w:ind w:firstLine="504"/>
      </w:pPr>
      <w:r>
        <w:rPr>
          <w:rFonts w:ascii="Times New Roman" w:cs="Times New Roman" w:eastAsia="SimSun" w:hAnsi="Times New Roman"/>
          <w:color w:val="1E2832"/>
          <w:sz w:val="21"/>
          <w:szCs w:val="21"/>
        </w:rPr>
        <w:t xml:space="preserve">铁律 4：每个数值必带数据来源（emDataSource）。</w:t>
      </w:r>
    </w:p>
    <w:p>
      <w:pPr>
        <w:spacing w:after="120" w:line="320"/>
        <w:ind w:firstLine="504"/>
      </w:pPr>
      <w:r>
        <w:rPr>
          <w:rFonts w:ascii="Times New Roman" w:cs="Times New Roman" w:eastAsia="SimSun" w:hAnsi="Times New Roman"/>
          <w:color w:val="1E2832"/>
          <w:sz w:val="21"/>
          <w:szCs w:val="21"/>
        </w:rPr>
        <w:t xml:space="preserve">铁律 5：不重复定义冷机 / 水泵 / 空调箱（与楼控模型复用，不另建）。</w:t>
      </w:r>
    </w:p>
    <w:p>
      <w:pPr>
        <w:spacing w:after="120" w:line="320"/>
        <w:ind w:firstLine="504"/>
      </w:pPr>
      <w:r>
        <w:rPr>
          <w:rFonts w:ascii="Times New Roman" w:cs="Times New Roman" w:eastAsia="SimSun" w:hAnsi="Times New Roman"/>
          <w:color w:val="1E2832"/>
          <w:sz w:val="21"/>
          <w:szCs w:val="21"/>
        </w:rPr>
        <w:t xml:space="preserve">铁律 6：L2 台账只读，禁止直读点位历史（源码扫描自动守卫）。</w:t>
      </w:r>
    </w:p>
    <w:p>
      <w:pPr>
        <w:spacing w:after="120" w:line="320"/>
        <w:ind w:firstLine="504"/>
      </w:pPr>
      <w:r>
        <w:rPr>
          <w:rFonts w:ascii="Times New Roman" w:cs="Times New Roman" w:eastAsia="SimSun" w:hAnsi="Times New Roman"/>
          <w:color w:val="1E2832"/>
          <w:sz w:val="21"/>
          <w:szCs w:val="21"/>
        </w:rPr>
        <w:t xml:space="preserve">铁律 7：关账不可变，修正一律走红冲。</w:t>
      </w:r>
    </w:p>
    <w:p>
      <w:pPr>
        <w:spacing w:after="120" w:line="320"/>
        <w:ind w:firstLine="504"/>
      </w:pPr>
      <w:r>
        <w:rPr>
          <w:rFonts w:ascii="Times New Roman" w:cs="Times New Roman" w:eastAsia="SimSun" w:hAnsi="Times New Roman"/>
          <w:color w:val="1E2832"/>
          <w:sz w:val="21"/>
          <w:szCs w:val="21"/>
        </w:rPr>
        <w:t xml:space="preserve">铁律 8：业务参数版本化，必填来源文件（emSourceDoc）。</w:t>
      </w:r>
    </w:p>
    <w:p>
      <w:pPr>
        <w:spacing w:after="120" w:line="320"/>
        <w:ind w:firstLine="504"/>
      </w:pPr>
      <w:r>
        <w:rPr>
          <w:rFonts w:ascii="Times New Roman" w:cs="Times New Roman" w:eastAsia="SimSun" w:hAnsi="Times New Roman"/>
          <w:color w:val="1E2832"/>
          <w:sz w:val="21"/>
          <w:szCs w:val="21"/>
        </w:rPr>
        <w:t xml:space="preserve">铁律 9：账单 / 碳账 / 指标可无损重算（输入只有台账与参数版本）。</w:t>
      </w:r>
    </w:p>
    <w:p>
      <w:pPr>
        <w:spacing w:after="120" w:line="320"/>
        <w:ind w:firstLine="504"/>
      </w:pPr>
      <w:r>
        <w:rPr>
          <w:rFonts w:ascii="Times New Roman" w:cs="Times New Roman" w:eastAsia="SimSun" w:hAnsi="Times New Roman"/>
          <w:color w:val="1E2832"/>
          <w:sz w:val="21"/>
          <w:szCs w:val="21"/>
        </w:rPr>
        <w:t xml:space="preserve">铁律 10：节能量默认 planned，通过基线核证后方可 verified 对外。</w:t>
      </w:r>
    </w:p>
    <w:p>
      <w:pPr>
        <w:spacing w:after="120" w:line="320"/>
        <w:ind w:firstLine="504"/>
      </w:pPr>
      <w:r>
        <w:rPr>
          <w:rFonts w:ascii="Times New Roman" w:cs="Times New Roman" w:eastAsia="SimSun" w:hAnsi="Times New Roman"/>
          <w:color w:val="1E2832"/>
          <w:sz w:val="21"/>
          <w:szCs w:val="21"/>
        </w:rPr>
        <w:t xml:space="preserve">附：缺口率 5% 闸门 —— 缺口率超阈值自动阻断月度关账（阈值可按站点覆盖）。</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120" w:line="320"/>
      <w:jc w:val="center"/>
    </w:pPr>
    <w:r>
      <w:rPr>
        <w:rFonts w:ascii="Arial" w:cs="Arial" w:eastAsia="Microsoft YaHei" w:hAnsi="Arial"/>
        <w:color w:val="5C6B7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60"/>
      <w:jc w:val="center"/>
    </w:pPr>
    <w:r>
      <w:rPr>
        <w:rFonts w:ascii="Arial" w:cs="Arial" w:eastAsia="Microsoft YaHei" w:hAnsi="Arial"/>
        <w:color w:val="5C6B78"/>
        <w:sz w:val="18"/>
        <w:szCs w:val="18"/>
      </w:rPr>
      <w:t xml:space="preserve">energyMatrix 建筑能源管理系统 V1.0 解决方案技术说明</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2026-09-14T10:28:37.973Z</dcterms:created>
  <dcterms:modified xsi:type="dcterms:W3CDTF">2026-09-14T10:28:37.979Z</dcterms:modified>
</cp:coreProperties>
</file>

<file path=docProps/custom.xml><?xml version="1.0" encoding="utf-8"?>
<Properties xmlns="http://schemas.openxmlformats.org/officeDocument/2006/custom-properties" xmlns:vt="http://schemas.openxmlformats.org/officeDocument/2006/docPropsVTypes"/>
</file>