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89"/>
      </w:tblGrid>
      <w:tr w:rsidR="00EE54B8" w:rsidRPr="00EF43A8" w:rsidTr="007461E0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lang w:bidi="en-US"/>
            </w:rPr>
            <w:alias w:val="Company"/>
            <w:id w:val="15524243"/>
            <w:placeholder>
              <w:docPart w:val="F08F968C730D46FC82520C872E7189B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</w:tcPr>
              <w:p w:rsidR="00EE54B8" w:rsidRPr="00EF43A8" w:rsidRDefault="00EE54B8" w:rsidP="00EE54B8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caps/>
                    <w:lang w:val="en-US" w:bidi="en-US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lang w:bidi="en-US"/>
                  </w:rPr>
                  <w:t>National Bank of Belgium</w:t>
                </w:r>
              </w:p>
            </w:tc>
          </w:sdtContent>
        </w:sdt>
      </w:tr>
      <w:tr w:rsidR="00EE54B8" w:rsidRPr="00EF43A8" w:rsidTr="007461E0">
        <w:trPr>
          <w:trHeight w:val="1440"/>
          <w:jc w:val="center"/>
        </w:trPr>
        <w:sdt>
          <w:sdtPr>
            <w:rPr>
              <w:rFonts w:asciiTheme="majorHAnsi" w:hAnsiTheme="majorHAnsi" w:cstheme="majorBidi"/>
              <w:sz w:val="80"/>
              <w:szCs w:val="80"/>
              <w:lang w:val="en-US" w:bidi="en-US"/>
            </w:rPr>
            <w:alias w:val="Title"/>
            <w:id w:val="15524250"/>
            <w:placeholder>
              <w:docPart w:val="DCDDC8EB11B04BECA7F83B2B14F84AC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E54B8" w:rsidRPr="00EF43A8" w:rsidRDefault="00EE54B8" w:rsidP="00EE54B8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sz w:val="80"/>
                    <w:szCs w:val="80"/>
                    <w:lang w:val="en-US" w:bidi="en-US"/>
                  </w:rPr>
                </w:pPr>
                <w:proofErr w:type="spellStart"/>
                <w:r>
                  <w:rPr>
                    <w:rFonts w:asciiTheme="majorHAnsi" w:hAnsiTheme="majorHAnsi" w:cstheme="majorBidi"/>
                    <w:sz w:val="80"/>
                    <w:szCs w:val="80"/>
                    <w:lang w:val="en-US" w:bidi="en-US"/>
                  </w:rPr>
                  <w:t>JDemetra</w:t>
                </w:r>
                <w:proofErr w:type="spellEnd"/>
                <w:r>
                  <w:rPr>
                    <w:rFonts w:asciiTheme="majorHAnsi" w:hAnsiTheme="majorHAnsi" w:cstheme="majorBidi"/>
                    <w:sz w:val="80"/>
                    <w:szCs w:val="80"/>
                    <w:lang w:val="en-US" w:bidi="en-US"/>
                  </w:rPr>
                  <w:t>+</w:t>
                </w:r>
              </w:p>
            </w:tc>
          </w:sdtContent>
        </w:sdt>
      </w:tr>
      <w:tr w:rsidR="00EE54B8" w:rsidRPr="00EF43A8" w:rsidTr="007461E0">
        <w:trPr>
          <w:trHeight w:val="720"/>
          <w:jc w:val="center"/>
        </w:trPr>
        <w:sdt>
          <w:sdtPr>
            <w:rPr>
              <w:rFonts w:asciiTheme="majorHAnsi" w:hAnsiTheme="majorHAnsi" w:cstheme="majorBidi"/>
              <w:sz w:val="44"/>
              <w:szCs w:val="44"/>
              <w:lang w:val="en-US" w:bidi="en-US"/>
            </w:rPr>
            <w:alias w:val="Subtitle"/>
            <w:id w:val="15524255"/>
            <w:placeholder>
              <w:docPart w:val="F1927976E921489CA5F872B534945EB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E54B8" w:rsidRPr="00EF43A8" w:rsidRDefault="00CE6E36" w:rsidP="00EE54B8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sz w:val="44"/>
                    <w:szCs w:val="44"/>
                    <w:lang w:val="en-US" w:bidi="en-US"/>
                  </w:rPr>
                </w:pPr>
                <w:r>
                  <w:rPr>
                    <w:rFonts w:asciiTheme="majorHAnsi" w:hAnsiTheme="majorHAnsi" w:cstheme="majorBidi"/>
                    <w:sz w:val="44"/>
                    <w:szCs w:val="44"/>
                    <w:lang w:val="en-US" w:bidi="en-US"/>
                  </w:rPr>
                  <w:t>Easter effects</w:t>
                </w:r>
              </w:p>
            </w:tc>
          </w:sdtContent>
        </w:sdt>
      </w:tr>
      <w:tr w:rsidR="00EE54B8" w:rsidRPr="00EF43A8" w:rsidTr="007461E0">
        <w:trPr>
          <w:trHeight w:val="360"/>
          <w:jc w:val="center"/>
        </w:trPr>
        <w:tc>
          <w:tcPr>
            <w:tcW w:w="5000" w:type="pct"/>
            <w:vAlign w:val="center"/>
          </w:tcPr>
          <w:p w:rsidR="00EE54B8" w:rsidRPr="00EF43A8" w:rsidRDefault="00EE54B8" w:rsidP="007461E0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EE54B8" w:rsidRPr="00EF43A8" w:rsidTr="007461E0">
        <w:trPr>
          <w:trHeight w:val="360"/>
          <w:jc w:val="center"/>
        </w:trPr>
        <w:sdt>
          <w:sdtPr>
            <w:rPr>
              <w:b/>
              <w:bCs/>
              <w:lang w:val="en-US" w:bidi="en-US"/>
            </w:r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EE54B8" w:rsidRPr="00EF43A8" w:rsidRDefault="00EE54B8" w:rsidP="007461E0">
                <w:pPr>
                  <w:spacing w:line="240" w:lineRule="auto"/>
                  <w:jc w:val="center"/>
                  <w:rPr>
                    <w:b/>
                    <w:bCs/>
                    <w:lang w:val="en-US" w:bidi="en-US"/>
                  </w:rPr>
                </w:pPr>
                <w:r>
                  <w:rPr>
                    <w:b/>
                    <w:bCs/>
                    <w:lang w:val="en-GB" w:bidi="en-US"/>
                  </w:rPr>
                  <w:t>Palate Jean</w:t>
                </w:r>
              </w:p>
            </w:tc>
          </w:sdtContent>
        </w:sdt>
      </w:tr>
      <w:tr w:rsidR="00EE54B8" w:rsidRPr="00EF43A8" w:rsidTr="007461E0">
        <w:trPr>
          <w:trHeight w:val="360"/>
          <w:jc w:val="center"/>
        </w:trPr>
        <w:sdt>
          <w:sdtPr>
            <w:rPr>
              <w:b/>
              <w:bCs/>
              <w:lang w:val="en-US" w:bidi="en-US"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7-09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EE54B8" w:rsidRPr="00EF43A8" w:rsidRDefault="00CE6E36" w:rsidP="007461E0">
                <w:pPr>
                  <w:spacing w:line="240" w:lineRule="auto"/>
                  <w:jc w:val="center"/>
                  <w:rPr>
                    <w:b/>
                    <w:bCs/>
                    <w:lang w:val="en-US" w:bidi="en-US"/>
                  </w:rPr>
                </w:pPr>
                <w:r>
                  <w:rPr>
                    <w:b/>
                    <w:bCs/>
                    <w:lang w:val="en-US" w:bidi="en-US"/>
                  </w:rPr>
                  <w:t>9/13/2017</w:t>
                </w:r>
              </w:p>
            </w:tc>
          </w:sdtContent>
        </w:sdt>
      </w:tr>
    </w:tbl>
    <w:p w:rsidR="00EE54B8" w:rsidRDefault="00EE54B8" w:rsidP="007060FF"/>
    <w:p w:rsidR="00EE54B8" w:rsidRDefault="00EE54B8">
      <w:pPr>
        <w:spacing w:after="0" w:line="240" w:lineRule="auto"/>
      </w:pPr>
      <w:r>
        <w:br w:type="page"/>
      </w:r>
    </w:p>
    <w:p w:rsidR="00D83EB9" w:rsidRDefault="005468F5" w:rsidP="007060FF">
      <w:pPr>
        <w:rPr>
          <w:lang w:val="en-US"/>
        </w:rPr>
      </w:pPr>
      <w:r>
        <w:rPr>
          <w:lang w:val="en-US"/>
        </w:rPr>
        <w:lastRenderedPageBreak/>
        <w:t>The Easter variable defines a time period before Easter.</w:t>
      </w:r>
      <w:r w:rsidR="00D83EB9">
        <w:rPr>
          <w:lang w:val="en-US"/>
        </w:rPr>
        <w:t xml:space="preserve"> The Easter effect is defined by the relative number of days that occurs in the different months (February, March, April and May for the </w:t>
      </w:r>
      <w:proofErr w:type="spellStart"/>
      <w:r w:rsidR="00D83EB9">
        <w:rPr>
          <w:lang w:val="en-US"/>
        </w:rPr>
        <w:t>JulianEaster</w:t>
      </w:r>
      <w:proofErr w:type="spellEnd"/>
      <w:r w:rsidR="00D83EB9">
        <w:rPr>
          <w:lang w:val="en-US"/>
        </w:rPr>
        <w:t xml:space="preserve">) or quarters (first or second quarter). </w:t>
      </w:r>
    </w:p>
    <w:p w:rsidR="00CC4CB7" w:rsidRDefault="00CC4CB7" w:rsidP="00CC4CB7">
      <w:pPr>
        <w:rPr>
          <w:lang w:val="en-US"/>
        </w:rPr>
      </w:pPr>
      <w:r>
        <w:rPr>
          <w:lang w:val="en-US"/>
        </w:rPr>
        <w:t xml:space="preserve">To avoid seasonal effects, the series is corrected using long term mean corrections. </w:t>
      </w:r>
      <w:proofErr w:type="spellStart"/>
      <w:r>
        <w:rPr>
          <w:lang w:val="en-US"/>
        </w:rPr>
        <w:t>Tramo</w:t>
      </w:r>
      <w:proofErr w:type="spellEnd"/>
      <w:r>
        <w:rPr>
          <w:lang w:val="en-US"/>
        </w:rPr>
        <w:t xml:space="preserve"> uses a very simple correction: we remove 0.5 from March and from April (independently of the duration); X13 uses a more sophisticated solution.</w:t>
      </w:r>
    </w:p>
    <w:p w:rsidR="00D83EB9" w:rsidRDefault="00D83EB9" w:rsidP="007060FF">
      <w:pPr>
        <w:rPr>
          <w:lang w:val="en-US"/>
        </w:rPr>
      </w:pPr>
      <w:r>
        <w:rPr>
          <w:lang w:val="en-US"/>
        </w:rPr>
        <w:t xml:space="preserve">For instance, using </w:t>
      </w:r>
      <w:r w:rsidR="00CC4CB7">
        <w:rPr>
          <w:lang w:val="en-US"/>
        </w:rPr>
        <w:t>a</w:t>
      </w:r>
      <w:r>
        <w:rPr>
          <w:lang w:val="en-US"/>
        </w:rPr>
        <w:t xml:space="preserve"> duration of </w:t>
      </w:r>
      <w:r w:rsidR="00CC4CB7">
        <w:rPr>
          <w:lang w:val="en-US"/>
        </w:rPr>
        <w:t>10</w:t>
      </w:r>
      <w:r w:rsidR="00F7140B">
        <w:rPr>
          <w:lang w:val="en-US"/>
        </w:rPr>
        <w:t xml:space="preserve"> and </w:t>
      </w:r>
      <w:r w:rsidR="00CC4CB7">
        <w:rPr>
          <w:lang w:val="en-US"/>
        </w:rPr>
        <w:t>considering that the end day is</w:t>
      </w:r>
      <w:r w:rsidR="00F7140B">
        <w:rPr>
          <w:lang w:val="en-US"/>
        </w:rPr>
        <w:t xml:space="preserve"> Easter (see below), we have:</w:t>
      </w:r>
    </w:p>
    <w:p w:rsidR="00F7140B" w:rsidRDefault="00F7140B" w:rsidP="007060F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7"/>
        <w:gridCol w:w="1281"/>
        <w:gridCol w:w="1346"/>
        <w:gridCol w:w="1159"/>
        <w:gridCol w:w="1147"/>
        <w:gridCol w:w="1147"/>
        <w:gridCol w:w="931"/>
        <w:gridCol w:w="931"/>
      </w:tblGrid>
      <w:tr w:rsidR="00CC4CB7" w:rsidTr="00CC4CB7">
        <w:tc>
          <w:tcPr>
            <w:tcW w:w="851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320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Easter</w:t>
            </w:r>
          </w:p>
        </w:tc>
        <w:tc>
          <w:tcPr>
            <w:tcW w:w="1390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#Days in March</w:t>
            </w:r>
          </w:p>
        </w:tc>
        <w:tc>
          <w:tcPr>
            <w:tcW w:w="1192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#Days in April</w:t>
            </w:r>
          </w:p>
        </w:tc>
        <w:tc>
          <w:tcPr>
            <w:tcW w:w="1133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Effect in March (not corrected)</w:t>
            </w:r>
          </w:p>
        </w:tc>
        <w:tc>
          <w:tcPr>
            <w:tcW w:w="1107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Effect in April (not corrected)</w:t>
            </w:r>
          </w:p>
        </w:tc>
        <w:tc>
          <w:tcPr>
            <w:tcW w:w="893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Tramo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93" w:type="dxa"/>
          </w:tcPr>
          <w:p w:rsidR="00CC4CB7" w:rsidRDefault="00CC4CB7" w:rsidP="00CC4CB7">
            <w:p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  <w:p w:rsidR="00CC4CB7" w:rsidRDefault="00CC4CB7" w:rsidP="00CC4C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Tramo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C4CB7" w:rsidTr="00CC4CB7">
        <w:tc>
          <w:tcPr>
            <w:tcW w:w="851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1320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5 April</w:t>
            </w:r>
          </w:p>
        </w:tc>
        <w:tc>
          <w:tcPr>
            <w:tcW w:w="1390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2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3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07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93" w:type="dxa"/>
          </w:tcPr>
          <w:p w:rsidR="00CC4CB7" w:rsidRPr="00CC4CB7" w:rsidRDefault="00CC4CB7" w:rsidP="00A24734">
            <w:pPr>
              <w:jc w:val="right"/>
              <w:rPr>
                <w:b/>
                <w:lang w:val="en-US"/>
              </w:rPr>
            </w:pPr>
            <w:r w:rsidRPr="00CC4CB7">
              <w:rPr>
                <w:b/>
                <w:lang w:val="en-US"/>
              </w:rPr>
              <w:t>0</w:t>
            </w:r>
          </w:p>
        </w:tc>
        <w:tc>
          <w:tcPr>
            <w:tcW w:w="893" w:type="dxa"/>
          </w:tcPr>
          <w:p w:rsidR="00CC4CB7" w:rsidRPr="00CC4CB7" w:rsidRDefault="00CC4CB7" w:rsidP="00A24734">
            <w:pPr>
              <w:jc w:val="right"/>
              <w:rPr>
                <w:b/>
                <w:lang w:val="en-US"/>
              </w:rPr>
            </w:pPr>
            <w:r w:rsidRPr="00CC4CB7">
              <w:rPr>
                <w:b/>
                <w:lang w:val="en-US"/>
              </w:rPr>
              <w:t>0</w:t>
            </w:r>
          </w:p>
        </w:tc>
      </w:tr>
      <w:tr w:rsidR="00CC4CB7" w:rsidTr="00CC4CB7">
        <w:tc>
          <w:tcPr>
            <w:tcW w:w="851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1320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27 March</w:t>
            </w:r>
          </w:p>
        </w:tc>
        <w:tc>
          <w:tcPr>
            <w:tcW w:w="1390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92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7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3" w:type="dxa"/>
          </w:tcPr>
          <w:p w:rsidR="00CC4CB7" w:rsidRPr="00CC4CB7" w:rsidRDefault="00CC4CB7" w:rsidP="00A24734">
            <w:pPr>
              <w:jc w:val="right"/>
              <w:rPr>
                <w:b/>
                <w:lang w:val="en-US"/>
              </w:rPr>
            </w:pPr>
            <w:r w:rsidRPr="00CC4CB7">
              <w:rPr>
                <w:b/>
                <w:lang w:val="en-US"/>
              </w:rPr>
              <w:t>0.5</w:t>
            </w:r>
          </w:p>
        </w:tc>
        <w:tc>
          <w:tcPr>
            <w:tcW w:w="893" w:type="dxa"/>
          </w:tcPr>
          <w:p w:rsidR="00CC4CB7" w:rsidRPr="00CC4CB7" w:rsidRDefault="00CC4CB7" w:rsidP="00A24734">
            <w:pPr>
              <w:jc w:val="right"/>
              <w:rPr>
                <w:b/>
                <w:lang w:val="en-US"/>
              </w:rPr>
            </w:pPr>
            <w:r w:rsidRPr="00CC4CB7">
              <w:rPr>
                <w:b/>
                <w:lang w:val="en-US"/>
              </w:rPr>
              <w:t>-0.5</w:t>
            </w:r>
          </w:p>
        </w:tc>
      </w:tr>
      <w:tr w:rsidR="00CC4CB7" w:rsidTr="00CC4CB7">
        <w:tc>
          <w:tcPr>
            <w:tcW w:w="851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320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16 April</w:t>
            </w:r>
          </w:p>
        </w:tc>
        <w:tc>
          <w:tcPr>
            <w:tcW w:w="1390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2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3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7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3" w:type="dxa"/>
          </w:tcPr>
          <w:p w:rsidR="00CC4CB7" w:rsidRPr="00CC4CB7" w:rsidRDefault="00CC4CB7" w:rsidP="00A24734">
            <w:pPr>
              <w:jc w:val="right"/>
              <w:rPr>
                <w:b/>
                <w:lang w:val="en-US"/>
              </w:rPr>
            </w:pPr>
            <w:r w:rsidRPr="00CC4CB7">
              <w:rPr>
                <w:b/>
                <w:lang w:val="en-US"/>
              </w:rPr>
              <w:t>-0.5</w:t>
            </w:r>
          </w:p>
        </w:tc>
        <w:tc>
          <w:tcPr>
            <w:tcW w:w="893" w:type="dxa"/>
          </w:tcPr>
          <w:p w:rsidR="00CC4CB7" w:rsidRPr="00CC4CB7" w:rsidRDefault="00CC4CB7" w:rsidP="00A24734">
            <w:pPr>
              <w:jc w:val="right"/>
              <w:rPr>
                <w:b/>
                <w:lang w:val="en-US"/>
              </w:rPr>
            </w:pPr>
            <w:r w:rsidRPr="00CC4CB7">
              <w:rPr>
                <w:b/>
                <w:lang w:val="en-US"/>
              </w:rPr>
              <w:t>0.5</w:t>
            </w:r>
          </w:p>
        </w:tc>
      </w:tr>
      <w:tr w:rsidR="00CC4CB7" w:rsidTr="00CC4CB7">
        <w:tc>
          <w:tcPr>
            <w:tcW w:w="851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320" w:type="dxa"/>
          </w:tcPr>
          <w:p w:rsidR="00CC4CB7" w:rsidRDefault="00CC4CB7" w:rsidP="007060FF">
            <w:pPr>
              <w:rPr>
                <w:lang w:val="en-US"/>
              </w:rPr>
            </w:pPr>
            <w:r>
              <w:rPr>
                <w:lang w:val="en-US"/>
              </w:rPr>
              <w:t>1 April</w:t>
            </w:r>
          </w:p>
        </w:tc>
        <w:tc>
          <w:tcPr>
            <w:tcW w:w="1390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2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.9</w:t>
            </w:r>
          </w:p>
        </w:tc>
        <w:tc>
          <w:tcPr>
            <w:tcW w:w="1107" w:type="dxa"/>
          </w:tcPr>
          <w:p w:rsidR="00CC4CB7" w:rsidRDefault="00CC4CB7" w:rsidP="00A247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.1</w:t>
            </w:r>
          </w:p>
        </w:tc>
        <w:tc>
          <w:tcPr>
            <w:tcW w:w="893" w:type="dxa"/>
          </w:tcPr>
          <w:p w:rsidR="00CC4CB7" w:rsidRPr="00CC4CB7" w:rsidRDefault="00CC4CB7" w:rsidP="00A24734">
            <w:pPr>
              <w:jc w:val="right"/>
              <w:rPr>
                <w:b/>
                <w:lang w:val="en-US"/>
              </w:rPr>
            </w:pPr>
            <w:r w:rsidRPr="00CC4CB7">
              <w:rPr>
                <w:b/>
                <w:lang w:val="en-US"/>
              </w:rPr>
              <w:t>0.4</w:t>
            </w:r>
          </w:p>
        </w:tc>
        <w:tc>
          <w:tcPr>
            <w:tcW w:w="893" w:type="dxa"/>
          </w:tcPr>
          <w:p w:rsidR="00CC4CB7" w:rsidRPr="00CC4CB7" w:rsidRDefault="00CC4CB7" w:rsidP="00A24734">
            <w:pPr>
              <w:jc w:val="right"/>
              <w:rPr>
                <w:b/>
                <w:lang w:val="en-US"/>
              </w:rPr>
            </w:pPr>
            <w:r w:rsidRPr="00CC4CB7">
              <w:rPr>
                <w:b/>
                <w:lang w:val="en-US"/>
              </w:rPr>
              <w:t>-0.4</w:t>
            </w:r>
          </w:p>
        </w:tc>
      </w:tr>
    </w:tbl>
    <w:p w:rsidR="00F7140B" w:rsidRDefault="00F7140B" w:rsidP="007060FF">
      <w:pPr>
        <w:rPr>
          <w:lang w:val="en-US"/>
        </w:rPr>
      </w:pPr>
    </w:p>
    <w:p w:rsidR="00D83EB9" w:rsidRDefault="00D2320D" w:rsidP="007060FF">
      <w:pPr>
        <w:rPr>
          <w:lang w:val="en-US"/>
        </w:rPr>
      </w:pPr>
      <w:r>
        <w:rPr>
          <w:lang w:val="en-US"/>
        </w:rPr>
        <w:t>Note that the Easter variable may be 0 in some years.</w:t>
      </w:r>
    </w:p>
    <w:p w:rsidR="005468F5" w:rsidRDefault="00CC4CB7" w:rsidP="007060FF">
      <w:pPr>
        <w:rPr>
          <w:lang w:val="en-US"/>
        </w:rPr>
      </w:pPr>
      <w:r>
        <w:rPr>
          <w:lang w:val="en-US"/>
        </w:rPr>
        <w:t xml:space="preserve">See below the specific features of </w:t>
      </w:r>
      <w:proofErr w:type="spellStart"/>
      <w:r w:rsidR="005468F5">
        <w:rPr>
          <w:lang w:val="en-US"/>
        </w:rPr>
        <w:t>Tramo</w:t>
      </w:r>
      <w:proofErr w:type="spellEnd"/>
      <w:r w:rsidR="005468F5">
        <w:rPr>
          <w:lang w:val="en-US"/>
        </w:rPr>
        <w:t xml:space="preserve">-Seats and </w:t>
      </w:r>
      <w:r>
        <w:rPr>
          <w:lang w:val="en-US"/>
        </w:rPr>
        <w:t xml:space="preserve">of </w:t>
      </w:r>
      <w:r w:rsidR="005468F5">
        <w:rPr>
          <w:lang w:val="en-US"/>
        </w:rPr>
        <w:t xml:space="preserve">X13 </w:t>
      </w:r>
      <w:r>
        <w:rPr>
          <w:lang w:val="en-US"/>
        </w:rPr>
        <w:t>concerning Easter</w:t>
      </w:r>
      <w:r w:rsidR="00D83EB9">
        <w:rPr>
          <w:lang w:val="en-US"/>
        </w:rPr>
        <w:t>.</w:t>
      </w:r>
    </w:p>
    <w:p w:rsidR="00D83EB9" w:rsidRDefault="00D83EB9" w:rsidP="007060FF">
      <w:pPr>
        <w:rPr>
          <w:lang w:val="en-US"/>
        </w:rPr>
      </w:pPr>
    </w:p>
    <w:p w:rsidR="005468F5" w:rsidRDefault="005468F5" w:rsidP="005468F5">
      <w:pPr>
        <w:pStyle w:val="Titre2"/>
        <w:rPr>
          <w:lang w:val="en-US"/>
        </w:rPr>
      </w:pPr>
      <w:r>
        <w:rPr>
          <w:lang w:val="en-US"/>
        </w:rPr>
        <w:t xml:space="preserve">Easter in </w:t>
      </w:r>
      <w:proofErr w:type="spellStart"/>
      <w:r>
        <w:rPr>
          <w:lang w:val="en-US"/>
        </w:rPr>
        <w:t>Tramo</w:t>
      </w:r>
      <w:proofErr w:type="spellEnd"/>
    </w:p>
    <w:p w:rsidR="00ED1B50" w:rsidRDefault="00D83EB9" w:rsidP="007060FF">
      <w:pPr>
        <w:rPr>
          <w:lang w:val="en-US"/>
        </w:rPr>
      </w:pPr>
      <w:r>
        <w:rPr>
          <w:lang w:val="en-US"/>
        </w:rPr>
        <w:t xml:space="preserve">The Easter period in </w:t>
      </w:r>
      <w:proofErr w:type="spellStart"/>
      <w:r>
        <w:rPr>
          <w:lang w:val="en-US"/>
        </w:rPr>
        <w:t>Tramo</w:t>
      </w:r>
      <w:proofErr w:type="spellEnd"/>
      <w:r>
        <w:rPr>
          <w:lang w:val="en-US"/>
        </w:rPr>
        <w:t xml:space="preserve"> is defined by the daily period [</w:t>
      </w:r>
      <w:r w:rsidR="00D2320D" w:rsidRPr="00D2320D">
        <w:rPr>
          <w:i/>
          <w:lang w:val="en-US"/>
        </w:rPr>
        <w:t>end</w:t>
      </w:r>
      <w:r w:rsidR="00D2320D">
        <w:rPr>
          <w:lang w:val="en-US"/>
        </w:rPr>
        <w:t xml:space="preserve"> </w:t>
      </w:r>
      <w:r>
        <w:rPr>
          <w:lang w:val="en-US"/>
        </w:rPr>
        <w:t xml:space="preserve">– duration, </w:t>
      </w:r>
      <w:r w:rsidRPr="00D83EB9">
        <w:rPr>
          <w:i/>
          <w:lang w:val="en-US"/>
        </w:rPr>
        <w:t>end</w:t>
      </w:r>
      <w:r>
        <w:rPr>
          <w:lang w:val="en-US"/>
        </w:rPr>
        <w:t xml:space="preserve">] where </w:t>
      </w:r>
      <w:r w:rsidRPr="00D83EB9">
        <w:rPr>
          <w:i/>
          <w:lang w:val="en-US"/>
        </w:rPr>
        <w:t>end</w:t>
      </w:r>
      <w:r>
        <w:rPr>
          <w:lang w:val="en-US"/>
        </w:rPr>
        <w:t xml:space="preserve"> may be Easter -1 (legacy solution), Easter (default) or Easter Monday.</w:t>
      </w:r>
    </w:p>
    <w:p w:rsidR="00D83EB9" w:rsidRDefault="00D2320D" w:rsidP="007060FF">
      <w:pPr>
        <w:rPr>
          <w:lang w:val="en-US"/>
        </w:rPr>
      </w:pPr>
      <w:r>
        <w:rPr>
          <w:lang w:val="en-US"/>
        </w:rPr>
        <w:t>As mentioned above, the long term mean correction is always -.5 for March and for April.</w:t>
      </w:r>
    </w:p>
    <w:p w:rsidR="005468F5" w:rsidRDefault="005468F5" w:rsidP="007060FF">
      <w:pPr>
        <w:rPr>
          <w:lang w:val="en-US"/>
        </w:rPr>
      </w:pPr>
    </w:p>
    <w:p w:rsidR="005468F5" w:rsidRDefault="005468F5" w:rsidP="00D2320D">
      <w:pPr>
        <w:pStyle w:val="Titre2"/>
        <w:rPr>
          <w:lang w:val="en-US"/>
        </w:rPr>
      </w:pPr>
      <w:r>
        <w:rPr>
          <w:lang w:val="en-US"/>
        </w:rPr>
        <w:t>Easter in X13</w:t>
      </w:r>
    </w:p>
    <w:p w:rsidR="00D2320D" w:rsidRDefault="00D2320D" w:rsidP="00D2320D">
      <w:pPr>
        <w:rPr>
          <w:lang w:val="en-US"/>
        </w:rPr>
      </w:pPr>
      <w:r>
        <w:rPr>
          <w:lang w:val="en-US"/>
        </w:rPr>
        <w:t xml:space="preserve">The Easter period in </w:t>
      </w:r>
      <w:r>
        <w:rPr>
          <w:lang w:val="en-US"/>
        </w:rPr>
        <w:t>X13</w:t>
      </w:r>
      <w:r>
        <w:rPr>
          <w:lang w:val="en-US"/>
        </w:rPr>
        <w:t xml:space="preserve"> is defined by the daily period [</w:t>
      </w:r>
      <w:r w:rsidRPr="00D2320D">
        <w:rPr>
          <w:i/>
          <w:lang w:val="en-US"/>
        </w:rPr>
        <w:t>end</w:t>
      </w:r>
      <w:r>
        <w:rPr>
          <w:lang w:val="en-US"/>
        </w:rPr>
        <w:t xml:space="preserve"> – duration, </w:t>
      </w:r>
      <w:r w:rsidRPr="00D83EB9">
        <w:rPr>
          <w:i/>
          <w:lang w:val="en-US"/>
        </w:rPr>
        <w:t>end</w:t>
      </w:r>
      <w:r>
        <w:rPr>
          <w:lang w:val="en-US"/>
        </w:rPr>
        <w:t xml:space="preserve">] where </w:t>
      </w:r>
      <w:r w:rsidRPr="00D83EB9">
        <w:rPr>
          <w:i/>
          <w:lang w:val="en-US"/>
        </w:rPr>
        <w:t>end</w:t>
      </w:r>
      <w:r>
        <w:rPr>
          <w:lang w:val="en-US"/>
        </w:rPr>
        <w:t xml:space="preserve"> </w:t>
      </w:r>
      <w:r>
        <w:rPr>
          <w:lang w:val="en-US"/>
        </w:rPr>
        <w:t>is</w:t>
      </w:r>
      <w:r>
        <w:rPr>
          <w:lang w:val="en-US"/>
        </w:rPr>
        <w:t xml:space="preserve"> Easter</w:t>
      </w:r>
      <w:bookmarkStart w:id="0" w:name="_GoBack"/>
      <w:bookmarkEnd w:id="0"/>
      <w:r>
        <w:rPr>
          <w:lang w:val="en-US"/>
        </w:rPr>
        <w:t>-1.</w:t>
      </w:r>
    </w:p>
    <w:p w:rsidR="00D2320D" w:rsidRDefault="00D2320D" w:rsidP="00D2320D">
      <w:pPr>
        <w:rPr>
          <w:lang w:val="en-US"/>
        </w:rPr>
      </w:pPr>
      <w:r>
        <w:rPr>
          <w:lang w:val="en-US"/>
        </w:rPr>
        <w:t xml:space="preserve">The long term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 xml:space="preserve"> corrections have been computed on a long period, for all possible durations.</w:t>
      </w:r>
    </w:p>
    <w:p w:rsidR="001B0F6C" w:rsidRDefault="001B0F6C" w:rsidP="00D2320D">
      <w:pPr>
        <w:rPr>
          <w:lang w:val="en-US"/>
        </w:rPr>
      </w:pPr>
    </w:p>
    <w:p w:rsidR="001B0F6C" w:rsidRDefault="001B0F6C" w:rsidP="00D2320D">
      <w:pPr>
        <w:rPr>
          <w:lang w:val="en-US"/>
        </w:rPr>
      </w:pPr>
      <w:r>
        <w:rPr>
          <w:lang w:val="en-US"/>
        </w:rPr>
        <w:t>See below the mean corrections for March and April used in X13</w:t>
      </w:r>
    </w:p>
    <w:p w:rsidR="005468F5" w:rsidRDefault="001B0F6C" w:rsidP="007060F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563144" wp14:editId="0BACD17A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B31D599-F6D1-45B8-AC42-A4332EFA08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B2A89" w:rsidRDefault="002B2A89" w:rsidP="007060FF">
      <w:pPr>
        <w:rPr>
          <w:lang w:val="en-US"/>
        </w:rPr>
      </w:pPr>
    </w:p>
    <w:p w:rsidR="002B2A89" w:rsidRDefault="002B2A89" w:rsidP="007060FF">
      <w:pPr>
        <w:rPr>
          <w:lang w:val="en-US"/>
        </w:rPr>
      </w:pPr>
      <w:r>
        <w:rPr>
          <w:lang w:val="en-US"/>
        </w:rPr>
        <w:t xml:space="preserve">Remark: </w:t>
      </w:r>
    </w:p>
    <w:p w:rsidR="002B2A89" w:rsidRPr="001B0F6C" w:rsidRDefault="002B2A89" w:rsidP="007060FF">
      <w:pPr>
        <w:rPr>
          <w:lang w:val="en-US"/>
        </w:rPr>
      </w:pPr>
      <w:r>
        <w:rPr>
          <w:lang w:val="en-US"/>
        </w:rPr>
        <w:t>See the discussion in JD+ - Trading days for the impact of long term mean corrections.</w:t>
      </w:r>
    </w:p>
    <w:sectPr w:rsidR="002B2A89" w:rsidRPr="001B0F6C" w:rsidSect="00CA177B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1134" w:right="1559" w:bottom="1134" w:left="155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1D1" w:rsidRDefault="00F111D1">
      <w:r>
        <w:separator/>
      </w:r>
    </w:p>
  </w:endnote>
  <w:endnote w:type="continuationSeparator" w:id="0">
    <w:p w:rsidR="00F111D1" w:rsidRDefault="00F1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132" w:rsidRDefault="00C377BC">
    <w:pPr>
      <w:pStyle w:val="Pieddepage"/>
      <w:jc w:val="right"/>
      <w:rPr>
        <w:noProof/>
      </w:rPr>
    </w:pPr>
    <w:r>
      <w:rPr>
        <w:noProof/>
      </w:rPr>
      <w:fldChar w:fldCharType="begin"/>
    </w:r>
    <w:r w:rsidR="00796132">
      <w:rPr>
        <w:noProof/>
      </w:rPr>
      <w:instrText xml:space="preserve">filename </w:instrText>
    </w:r>
    <w:r>
      <w:rPr>
        <w:noProof/>
      </w:rPr>
      <w:fldChar w:fldCharType="separate"/>
    </w:r>
    <w:r w:rsidR="00796132">
      <w:rPr>
        <w:noProof/>
      </w:rPr>
      <w:t>NORMAL.DOT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1D1" w:rsidRDefault="00F111D1">
      <w:r>
        <w:separator/>
      </w:r>
    </w:p>
  </w:footnote>
  <w:footnote w:type="continuationSeparator" w:id="0">
    <w:p w:rsidR="00F111D1" w:rsidRDefault="00F11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132" w:rsidRDefault="00796132">
    <w:pPr>
      <w:pStyle w:val="En-tte"/>
      <w:tabs>
        <w:tab w:val="clear" w:pos="4394"/>
        <w:tab w:val="center" w:pos="439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132" w:rsidRDefault="003B6994">
    <w:pPr>
      <w:pStyle w:val="En-tte"/>
      <w:tabs>
        <w:tab w:val="clear" w:pos="4394"/>
        <w:tab w:val="center" w:pos="4395"/>
      </w:tabs>
      <w:jc w:val="right"/>
    </w:pPr>
    <w:r>
      <w:fldChar w:fldCharType="begin"/>
    </w:r>
    <w:r>
      <w:instrText>PAGE</w:instrText>
    </w:r>
    <w:r>
      <w:fldChar w:fldCharType="separate"/>
    </w:r>
    <w:r w:rsidR="00D81037">
      <w:rPr>
        <w:noProof/>
      </w:rPr>
      <w:t>3</w:t>
    </w:r>
    <w:r>
      <w:rPr>
        <w:noProof/>
      </w:rPr>
      <w:fldChar w:fldCharType="end"/>
    </w:r>
    <w:r w:rsidR="00796132"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132" w:rsidRDefault="00796132">
    <w:pPr>
      <w:pStyle w:val="En-tte"/>
      <w:tabs>
        <w:tab w:val="clear" w:pos="4394"/>
        <w:tab w:val="center" w:pos="4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884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C0E6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8E5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84BD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62AB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E5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983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7C1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983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6E80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en-GB" w:vendorID="8" w:dllVersion="513" w:checkStyle="1"/>
  <w:activeWritingStyle w:appName="MSWord" w:lang="nl-BE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B8"/>
    <w:rsid w:val="00002AB1"/>
    <w:rsid w:val="00005848"/>
    <w:rsid w:val="0001064F"/>
    <w:rsid w:val="00016588"/>
    <w:rsid w:val="0002547B"/>
    <w:rsid w:val="00072E3E"/>
    <w:rsid w:val="00082B62"/>
    <w:rsid w:val="00092F24"/>
    <w:rsid w:val="000A43B4"/>
    <w:rsid w:val="000C2D0A"/>
    <w:rsid w:val="001726FE"/>
    <w:rsid w:val="001767E5"/>
    <w:rsid w:val="00190BA2"/>
    <w:rsid w:val="001B0F6C"/>
    <w:rsid w:val="00217B38"/>
    <w:rsid w:val="0022049F"/>
    <w:rsid w:val="00243709"/>
    <w:rsid w:val="00247B44"/>
    <w:rsid w:val="002968E4"/>
    <w:rsid w:val="002B2A89"/>
    <w:rsid w:val="002C69DD"/>
    <w:rsid w:val="002D19CB"/>
    <w:rsid w:val="002F65B9"/>
    <w:rsid w:val="00310D8D"/>
    <w:rsid w:val="00352DC7"/>
    <w:rsid w:val="003B6994"/>
    <w:rsid w:val="003C268F"/>
    <w:rsid w:val="00477796"/>
    <w:rsid w:val="005468F5"/>
    <w:rsid w:val="0057537C"/>
    <w:rsid w:val="00577B66"/>
    <w:rsid w:val="005C7148"/>
    <w:rsid w:val="006356E0"/>
    <w:rsid w:val="00637909"/>
    <w:rsid w:val="00661343"/>
    <w:rsid w:val="00662196"/>
    <w:rsid w:val="00665FF1"/>
    <w:rsid w:val="006720E3"/>
    <w:rsid w:val="00683E12"/>
    <w:rsid w:val="0068491F"/>
    <w:rsid w:val="00692D3A"/>
    <w:rsid w:val="006A50FA"/>
    <w:rsid w:val="006E020F"/>
    <w:rsid w:val="007060FF"/>
    <w:rsid w:val="0071233C"/>
    <w:rsid w:val="007360DD"/>
    <w:rsid w:val="00772B0D"/>
    <w:rsid w:val="00782E97"/>
    <w:rsid w:val="00796132"/>
    <w:rsid w:val="007B7057"/>
    <w:rsid w:val="007F0CC7"/>
    <w:rsid w:val="0083501D"/>
    <w:rsid w:val="00840F95"/>
    <w:rsid w:val="008448B4"/>
    <w:rsid w:val="008533D0"/>
    <w:rsid w:val="008617F8"/>
    <w:rsid w:val="00871F80"/>
    <w:rsid w:val="00876A19"/>
    <w:rsid w:val="00892821"/>
    <w:rsid w:val="008A6313"/>
    <w:rsid w:val="008C53AF"/>
    <w:rsid w:val="0090787B"/>
    <w:rsid w:val="00913394"/>
    <w:rsid w:val="009249C4"/>
    <w:rsid w:val="00960F42"/>
    <w:rsid w:val="0096502C"/>
    <w:rsid w:val="00993CCE"/>
    <w:rsid w:val="009F23EB"/>
    <w:rsid w:val="00A126F9"/>
    <w:rsid w:val="00A24734"/>
    <w:rsid w:val="00A80218"/>
    <w:rsid w:val="00A86AC8"/>
    <w:rsid w:val="00AA3C24"/>
    <w:rsid w:val="00AC79A6"/>
    <w:rsid w:val="00AE0BA7"/>
    <w:rsid w:val="00B37AA8"/>
    <w:rsid w:val="00B40075"/>
    <w:rsid w:val="00BB1442"/>
    <w:rsid w:val="00BC6750"/>
    <w:rsid w:val="00BE791D"/>
    <w:rsid w:val="00C377BC"/>
    <w:rsid w:val="00C769A5"/>
    <w:rsid w:val="00CA177B"/>
    <w:rsid w:val="00CA5A74"/>
    <w:rsid w:val="00CB4B76"/>
    <w:rsid w:val="00CC4CB7"/>
    <w:rsid w:val="00CD268E"/>
    <w:rsid w:val="00CE6E36"/>
    <w:rsid w:val="00CF4311"/>
    <w:rsid w:val="00D2320D"/>
    <w:rsid w:val="00D81037"/>
    <w:rsid w:val="00D83EB9"/>
    <w:rsid w:val="00D84645"/>
    <w:rsid w:val="00DE2E9A"/>
    <w:rsid w:val="00E02090"/>
    <w:rsid w:val="00E97285"/>
    <w:rsid w:val="00EA01EB"/>
    <w:rsid w:val="00EA6773"/>
    <w:rsid w:val="00ED1B50"/>
    <w:rsid w:val="00EE54B8"/>
    <w:rsid w:val="00F111D1"/>
    <w:rsid w:val="00F27D53"/>
    <w:rsid w:val="00F7140B"/>
    <w:rsid w:val="00F7258B"/>
    <w:rsid w:val="00FA5EF5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9721D"/>
  <w15:docId w15:val="{702C5FA5-FC87-42B4-A3FB-BE1FBA18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E54B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re1">
    <w:name w:val="heading 1"/>
    <w:basedOn w:val="Normal"/>
    <w:next w:val="Normal"/>
    <w:qFormat/>
    <w:rsid w:val="00CA177B"/>
    <w:pPr>
      <w:keepNext/>
      <w:keepLines/>
      <w:spacing w:before="240" w:after="240"/>
      <w:outlineLvl w:val="0"/>
    </w:pPr>
    <w:rPr>
      <w:b/>
      <w:caps/>
      <w:u w:val="single"/>
    </w:rPr>
  </w:style>
  <w:style w:type="paragraph" w:styleId="Titre2">
    <w:name w:val="heading 2"/>
    <w:basedOn w:val="Normal"/>
    <w:next w:val="Normal"/>
    <w:qFormat/>
    <w:rsid w:val="00CA177B"/>
    <w:pPr>
      <w:keepNext/>
      <w:keepLines/>
      <w:spacing w:before="120" w:after="120"/>
      <w:outlineLvl w:val="1"/>
    </w:pPr>
    <w:rPr>
      <w:caps/>
      <w:u w:val="single"/>
    </w:rPr>
  </w:style>
  <w:style w:type="paragraph" w:styleId="Titre3">
    <w:name w:val="heading 3"/>
    <w:basedOn w:val="Normal"/>
    <w:next w:val="Normal"/>
    <w:qFormat/>
    <w:rsid w:val="00CA177B"/>
    <w:pPr>
      <w:keepNext/>
      <w:keepLines/>
      <w:outlineLvl w:val="2"/>
    </w:pPr>
    <w:rPr>
      <w:caps/>
    </w:rPr>
  </w:style>
  <w:style w:type="paragraph" w:styleId="Titre4">
    <w:name w:val="heading 4"/>
    <w:basedOn w:val="Normal"/>
    <w:next w:val="Normal"/>
    <w:qFormat/>
    <w:rsid w:val="00CA177B"/>
    <w:pPr>
      <w:keepNext/>
      <w:keepLines/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rsid w:val="00CA177B"/>
    <w:pPr>
      <w:keepNext/>
      <w:keepLines/>
      <w:outlineLvl w:val="4"/>
    </w:pPr>
  </w:style>
  <w:style w:type="paragraph" w:styleId="Titre6">
    <w:name w:val="heading 6"/>
    <w:basedOn w:val="Normal"/>
    <w:next w:val="Normal"/>
    <w:qFormat/>
    <w:rsid w:val="00CA177B"/>
    <w:pPr>
      <w:keepNext/>
      <w:keepLines/>
      <w:outlineLvl w:val="5"/>
    </w:pPr>
  </w:style>
  <w:style w:type="paragraph" w:styleId="Titre7">
    <w:name w:val="heading 7"/>
    <w:basedOn w:val="Normal"/>
    <w:next w:val="Normal"/>
    <w:qFormat/>
    <w:rsid w:val="00CA177B"/>
    <w:pPr>
      <w:keepNext/>
      <w:keepLines/>
      <w:outlineLvl w:val="6"/>
    </w:pPr>
  </w:style>
  <w:style w:type="paragraph" w:styleId="Titre8">
    <w:name w:val="heading 8"/>
    <w:basedOn w:val="Normal"/>
    <w:next w:val="Normal"/>
    <w:qFormat/>
    <w:rsid w:val="00CA177B"/>
    <w:pPr>
      <w:keepNext/>
      <w:keepLines/>
      <w:outlineLvl w:val="7"/>
    </w:pPr>
  </w:style>
  <w:style w:type="paragraph" w:styleId="Titre9">
    <w:name w:val="heading 9"/>
    <w:basedOn w:val="Normal"/>
    <w:next w:val="Normal"/>
    <w:qFormat/>
    <w:rsid w:val="00CA177B"/>
    <w:pPr>
      <w:keepNext/>
      <w:keepLines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5">
    <w:name w:val="toc 5"/>
    <w:basedOn w:val="Normal"/>
    <w:next w:val="Normal"/>
    <w:semiHidden/>
    <w:rsid w:val="00CA177B"/>
    <w:pPr>
      <w:keepLines/>
      <w:tabs>
        <w:tab w:val="right" w:leader="dot" w:pos="8789"/>
      </w:tabs>
      <w:ind w:left="879" w:right="567" w:hanging="879"/>
    </w:pPr>
  </w:style>
  <w:style w:type="paragraph" w:styleId="TM4">
    <w:name w:val="toc 4"/>
    <w:basedOn w:val="Normal"/>
    <w:next w:val="Normal"/>
    <w:semiHidden/>
    <w:rsid w:val="00CA177B"/>
    <w:pPr>
      <w:keepLines/>
      <w:tabs>
        <w:tab w:val="right" w:leader="dot" w:pos="8789"/>
      </w:tabs>
      <w:ind w:left="714" w:right="567" w:hanging="714"/>
    </w:pPr>
  </w:style>
  <w:style w:type="paragraph" w:styleId="TM3">
    <w:name w:val="toc 3"/>
    <w:basedOn w:val="Normal"/>
    <w:next w:val="Normal"/>
    <w:semiHidden/>
    <w:rsid w:val="00CA177B"/>
    <w:pPr>
      <w:keepLines/>
      <w:tabs>
        <w:tab w:val="right" w:leader="dot" w:pos="8789"/>
      </w:tabs>
      <w:ind w:left="556" w:right="567" w:hanging="556"/>
    </w:pPr>
  </w:style>
  <w:style w:type="paragraph" w:styleId="TM2">
    <w:name w:val="toc 2"/>
    <w:basedOn w:val="Normal"/>
    <w:next w:val="Normal"/>
    <w:semiHidden/>
    <w:rsid w:val="00CA177B"/>
    <w:pPr>
      <w:keepLines/>
      <w:tabs>
        <w:tab w:val="right" w:leader="dot" w:pos="8789"/>
      </w:tabs>
      <w:ind w:left="397" w:right="567" w:hanging="397"/>
    </w:pPr>
  </w:style>
  <w:style w:type="paragraph" w:styleId="TM1">
    <w:name w:val="toc 1"/>
    <w:basedOn w:val="Normal"/>
    <w:next w:val="Normal"/>
    <w:semiHidden/>
    <w:rsid w:val="00CA177B"/>
    <w:pPr>
      <w:keepLines/>
      <w:tabs>
        <w:tab w:val="right" w:leader="dot" w:pos="8789"/>
      </w:tabs>
      <w:ind w:left="227" w:right="567" w:hanging="227"/>
    </w:pPr>
  </w:style>
  <w:style w:type="paragraph" w:styleId="Pieddepage">
    <w:name w:val="footer"/>
    <w:basedOn w:val="Normal"/>
    <w:rsid w:val="00CA177B"/>
    <w:pPr>
      <w:tabs>
        <w:tab w:val="center" w:pos="4395"/>
        <w:tab w:val="right" w:pos="8789"/>
      </w:tabs>
      <w:spacing w:line="240" w:lineRule="auto"/>
    </w:pPr>
    <w:rPr>
      <w:sz w:val="18"/>
    </w:rPr>
  </w:style>
  <w:style w:type="paragraph" w:styleId="En-tte">
    <w:name w:val="header"/>
    <w:basedOn w:val="Normal"/>
    <w:rsid w:val="00CA177B"/>
    <w:pPr>
      <w:tabs>
        <w:tab w:val="center" w:pos="4394"/>
        <w:tab w:val="right" w:pos="8789"/>
      </w:tabs>
      <w:spacing w:line="240" w:lineRule="auto"/>
    </w:pPr>
  </w:style>
  <w:style w:type="character" w:styleId="Appelnotedebasdep">
    <w:name w:val="footnote reference"/>
    <w:basedOn w:val="Policepardfaut"/>
    <w:semiHidden/>
    <w:rsid w:val="00CA177B"/>
    <w:rPr>
      <w:position w:val="6"/>
      <w:sz w:val="16"/>
    </w:rPr>
  </w:style>
  <w:style w:type="paragraph" w:styleId="Notedebasdepage">
    <w:name w:val="footnote text"/>
    <w:basedOn w:val="Normal"/>
    <w:semiHidden/>
    <w:rsid w:val="00CA177B"/>
    <w:pPr>
      <w:spacing w:line="240" w:lineRule="atLeast"/>
    </w:pPr>
    <w:rPr>
      <w:sz w:val="18"/>
    </w:rPr>
  </w:style>
  <w:style w:type="paragraph" w:styleId="Retraitnormal">
    <w:name w:val="Normal Indent"/>
    <w:basedOn w:val="Normal"/>
    <w:rsid w:val="00CA177B"/>
    <w:pPr>
      <w:tabs>
        <w:tab w:val="left" w:pos="567"/>
      </w:tabs>
      <w:ind w:left="284"/>
    </w:pPr>
  </w:style>
  <w:style w:type="paragraph" w:customStyle="1" w:styleId="auteurs">
    <w:name w:val="auteurs"/>
    <w:basedOn w:val="Normal"/>
    <w:rsid w:val="00CA177B"/>
    <w:pPr>
      <w:tabs>
        <w:tab w:val="center" w:pos="1985"/>
        <w:tab w:val="center" w:pos="6521"/>
      </w:tabs>
    </w:pPr>
  </w:style>
  <w:style w:type="paragraph" w:styleId="Textedemacro">
    <w:name w:val="macro"/>
    <w:semiHidden/>
    <w:rsid w:val="00CA177B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tLeast"/>
    </w:pPr>
    <w:rPr>
      <w:lang w:val="en-GB" w:eastAsia="en-US"/>
    </w:rPr>
  </w:style>
  <w:style w:type="paragraph" w:styleId="TM6">
    <w:name w:val="toc 6"/>
    <w:basedOn w:val="Normal"/>
    <w:next w:val="Normal"/>
    <w:semiHidden/>
    <w:rsid w:val="00CA177B"/>
    <w:pPr>
      <w:keepLines/>
      <w:tabs>
        <w:tab w:val="right" w:leader="dot" w:pos="8789"/>
      </w:tabs>
      <w:ind w:left="1049" w:right="567" w:hanging="1049"/>
    </w:pPr>
  </w:style>
  <w:style w:type="paragraph" w:styleId="TM7">
    <w:name w:val="toc 7"/>
    <w:basedOn w:val="Normal"/>
    <w:next w:val="Normal"/>
    <w:semiHidden/>
    <w:rsid w:val="00CA177B"/>
    <w:pPr>
      <w:keepLines/>
      <w:tabs>
        <w:tab w:val="right" w:leader="dot" w:pos="8789"/>
      </w:tabs>
      <w:ind w:left="1219" w:right="567" w:hanging="1219"/>
    </w:pPr>
  </w:style>
  <w:style w:type="paragraph" w:styleId="TM8">
    <w:name w:val="toc 8"/>
    <w:basedOn w:val="Normal"/>
    <w:next w:val="Normal"/>
    <w:semiHidden/>
    <w:rsid w:val="00CA177B"/>
    <w:pPr>
      <w:keepLines/>
      <w:tabs>
        <w:tab w:val="right" w:leader="dot" w:pos="8789"/>
      </w:tabs>
      <w:ind w:left="1378" w:right="567" w:hanging="1378"/>
    </w:pPr>
  </w:style>
  <w:style w:type="paragraph" w:styleId="TM9">
    <w:name w:val="toc 9"/>
    <w:basedOn w:val="Normal"/>
    <w:next w:val="Normal"/>
    <w:semiHidden/>
    <w:rsid w:val="00CA177B"/>
    <w:pPr>
      <w:keepLines/>
      <w:tabs>
        <w:tab w:val="right" w:leader="dot" w:pos="8789"/>
      </w:tabs>
      <w:ind w:left="1548" w:right="567" w:hanging="1548"/>
    </w:pPr>
  </w:style>
  <w:style w:type="paragraph" w:styleId="Explorateurdedocuments">
    <w:name w:val="Document Map"/>
    <w:basedOn w:val="Normal"/>
    <w:semiHidden/>
    <w:rsid w:val="00CA177B"/>
    <w:pPr>
      <w:shd w:val="clear" w:color="auto" w:fill="000080"/>
    </w:pPr>
    <w:rPr>
      <w:rFonts w:ascii="Tahoma" w:hAnsi="Tahoma"/>
    </w:rPr>
  </w:style>
  <w:style w:type="paragraph" w:styleId="Textedebulles">
    <w:name w:val="Balloon Text"/>
    <w:basedOn w:val="Normal"/>
    <w:link w:val="TextedebullesCar"/>
    <w:rsid w:val="00EE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E54B8"/>
    <w:rPr>
      <w:rFonts w:ascii="Tahoma" w:eastAsiaTheme="minorEastAsia" w:hAnsi="Tahoma" w:cs="Tahoma"/>
      <w:sz w:val="16"/>
      <w:szCs w:val="16"/>
    </w:rPr>
  </w:style>
  <w:style w:type="table" w:styleId="Grilledutableau">
    <w:name w:val="Table Grid"/>
    <w:basedOn w:val="TableauNormal"/>
    <w:rsid w:val="00F71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Long term mean correction for Easter (X13), following the duration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Feuil3!$G$7</c:f>
              <c:strCache>
                <c:ptCount val="1"/>
                <c:pt idx="0">
                  <c:v>March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Feuil3!$F$8:$F$32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Feuil3!$G$8:$G$32</c:f>
              <c:numCache>
                <c:formatCode>General</c:formatCode>
                <c:ptCount val="25"/>
                <c:pt idx="0">
                  <c:v>0.26600000000000001</c:v>
                </c:pt>
                <c:pt idx="1">
                  <c:v>0.28100000000000003</c:v>
                </c:pt>
                <c:pt idx="2">
                  <c:v>0.29666670000000001</c:v>
                </c:pt>
                <c:pt idx="3">
                  <c:v>0.3125</c:v>
                </c:pt>
                <c:pt idx="4">
                  <c:v>0.33040000000000003</c:v>
                </c:pt>
                <c:pt idx="5">
                  <c:v>0.34833330000000001</c:v>
                </c:pt>
                <c:pt idx="6">
                  <c:v>0.36542859999999999</c:v>
                </c:pt>
                <c:pt idx="7">
                  <c:v>0.38200000000000001</c:v>
                </c:pt>
                <c:pt idx="8">
                  <c:v>0.39755560000000001</c:v>
                </c:pt>
                <c:pt idx="9">
                  <c:v>0.41360000000000002</c:v>
                </c:pt>
                <c:pt idx="10">
                  <c:v>0.43054550000000003</c:v>
                </c:pt>
                <c:pt idx="11">
                  <c:v>0.44766669999999997</c:v>
                </c:pt>
                <c:pt idx="12">
                  <c:v>0.46430769999999999</c:v>
                </c:pt>
                <c:pt idx="13">
                  <c:v>0.48071429999999998</c:v>
                </c:pt>
                <c:pt idx="14">
                  <c:v>0.49733329999999998</c:v>
                </c:pt>
                <c:pt idx="15">
                  <c:v>0.514625</c:v>
                </c:pt>
                <c:pt idx="16">
                  <c:v>0.53188239999999998</c:v>
                </c:pt>
                <c:pt idx="17">
                  <c:v>0.54900000000000004</c:v>
                </c:pt>
                <c:pt idx="18">
                  <c:v>0.56610530000000003</c:v>
                </c:pt>
                <c:pt idx="19">
                  <c:v>0.58299999999999996</c:v>
                </c:pt>
                <c:pt idx="20">
                  <c:v>0.59990480000000002</c:v>
                </c:pt>
                <c:pt idx="21">
                  <c:v>0.61627270000000001</c:v>
                </c:pt>
                <c:pt idx="22">
                  <c:v>0.63113039999999998</c:v>
                </c:pt>
                <c:pt idx="23">
                  <c:v>0.64508330000000003</c:v>
                </c:pt>
                <c:pt idx="24">
                  <c:v>0.65759999999999996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70-47FE-B1A4-C2B5D4D0660D}"/>
            </c:ext>
          </c:extLst>
        </c:ser>
        <c:ser>
          <c:idx val="1"/>
          <c:order val="1"/>
          <c:tx>
            <c:strRef>
              <c:f>Feuil3!$H$7</c:f>
              <c:strCache>
                <c:ptCount val="1"/>
                <c:pt idx="0">
                  <c:v>April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Feuil3!$F$8:$F$32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Feuil3!$H$8:$H$32</c:f>
              <c:numCache>
                <c:formatCode>General</c:formatCode>
                <c:ptCount val="25"/>
                <c:pt idx="0">
                  <c:v>0.73399999999999999</c:v>
                </c:pt>
                <c:pt idx="1">
                  <c:v>0.71899999999999997</c:v>
                </c:pt>
                <c:pt idx="2">
                  <c:v>0.70333330000000005</c:v>
                </c:pt>
                <c:pt idx="3">
                  <c:v>0.6875</c:v>
                </c:pt>
                <c:pt idx="4">
                  <c:v>0.66959999999999997</c:v>
                </c:pt>
                <c:pt idx="5">
                  <c:v>0.65166670000000004</c:v>
                </c:pt>
                <c:pt idx="6">
                  <c:v>0.63457140000000001</c:v>
                </c:pt>
                <c:pt idx="7">
                  <c:v>0.61799999999999999</c:v>
                </c:pt>
                <c:pt idx="8">
                  <c:v>0.60244439999999999</c:v>
                </c:pt>
                <c:pt idx="9">
                  <c:v>0.58640000000000003</c:v>
                </c:pt>
                <c:pt idx="10">
                  <c:v>0.56945449999999997</c:v>
                </c:pt>
                <c:pt idx="11">
                  <c:v>0.55233330000000003</c:v>
                </c:pt>
                <c:pt idx="12">
                  <c:v>0.53569230000000001</c:v>
                </c:pt>
                <c:pt idx="13">
                  <c:v>0.51928569999999996</c:v>
                </c:pt>
                <c:pt idx="14">
                  <c:v>0.50266670000000002</c:v>
                </c:pt>
                <c:pt idx="15">
                  <c:v>0.485375</c:v>
                </c:pt>
                <c:pt idx="16">
                  <c:v>0.46811760000000002</c:v>
                </c:pt>
                <c:pt idx="17">
                  <c:v>0.45100000000000001</c:v>
                </c:pt>
                <c:pt idx="18">
                  <c:v>0.43389470000000002</c:v>
                </c:pt>
                <c:pt idx="19">
                  <c:v>0.41699999999999998</c:v>
                </c:pt>
                <c:pt idx="20">
                  <c:v>0.40009519999999998</c:v>
                </c:pt>
                <c:pt idx="21">
                  <c:v>0.38345449999999998</c:v>
                </c:pt>
                <c:pt idx="22">
                  <c:v>0.36773909999999999</c:v>
                </c:pt>
                <c:pt idx="23">
                  <c:v>0.35283330000000002</c:v>
                </c:pt>
                <c:pt idx="24">
                  <c:v>0.33872000000000002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70-47FE-B1A4-C2B5D4D066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3314648"/>
        <c:axId val="393317272"/>
      </c:lineChart>
      <c:catAx>
        <c:axId val="393314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317272"/>
        <c:crosses val="autoZero"/>
        <c:auto val="1"/>
        <c:lblAlgn val="ctr"/>
        <c:lblOffset val="100"/>
        <c:noMultiLvlLbl val="0"/>
      </c:catAx>
      <c:valAx>
        <c:axId val="393317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314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8F968C730D46FC82520C872E718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135EC-C6E8-46FB-B4BC-D601F9217597}"/>
      </w:docPartPr>
      <w:docPartBody>
        <w:p w:rsidR="00862691" w:rsidRDefault="001E4AC2" w:rsidP="001E4AC2">
          <w:pPr>
            <w:pStyle w:val="F08F968C730D46FC82520C872E7189B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CDDC8EB11B04BECA7F83B2B14F84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BAD77-F843-468D-BCC3-AF9536E6DC4A}"/>
      </w:docPartPr>
      <w:docPartBody>
        <w:p w:rsidR="00862691" w:rsidRDefault="001E4AC2" w:rsidP="001E4AC2">
          <w:pPr>
            <w:pStyle w:val="DCDDC8EB11B04BECA7F83B2B14F84AC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1927976E921489CA5F872B534945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247E-3691-45E5-BDE3-A91244781F4D}"/>
      </w:docPartPr>
      <w:docPartBody>
        <w:p w:rsidR="00862691" w:rsidRDefault="001E4AC2" w:rsidP="001E4AC2">
          <w:pPr>
            <w:pStyle w:val="F1927976E921489CA5F872B534945EB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AC2"/>
    <w:rsid w:val="001E4AC2"/>
    <w:rsid w:val="003030E2"/>
    <w:rsid w:val="00453B1E"/>
    <w:rsid w:val="00862691"/>
    <w:rsid w:val="00D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08F968C730D46FC82520C872E7189B4">
    <w:name w:val="F08F968C730D46FC82520C872E7189B4"/>
    <w:rsid w:val="001E4AC2"/>
  </w:style>
  <w:style w:type="paragraph" w:customStyle="1" w:styleId="DCDDC8EB11B04BECA7F83B2B14F84AC6">
    <w:name w:val="DCDDC8EB11B04BECA7F83B2B14F84AC6"/>
    <w:rsid w:val="001E4AC2"/>
  </w:style>
  <w:style w:type="paragraph" w:customStyle="1" w:styleId="F1927976E921489CA5F872B534945EBD">
    <w:name w:val="F1927976E921489CA5F872B534945EBD"/>
    <w:rsid w:val="001E4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JDemetra+</vt:lpstr>
      <vt:lpstr>JDemetra+</vt:lpstr>
    </vt:vector>
  </TitlesOfParts>
  <Company>National Bank of Belgium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JDemetra+</dc:title>
  <dc:subject>Easter effects</dc:subject>
  <dc:creator>Palate Jean</dc:creator>
  <cp:lastModifiedBy>Jean Palate</cp:lastModifiedBy>
  <cp:revision>6</cp:revision>
  <cp:lastPrinted>1900-12-31T23:00:00Z</cp:lastPrinted>
  <dcterms:created xsi:type="dcterms:W3CDTF">2017-09-13T12:09:00Z</dcterms:created>
  <dcterms:modified xsi:type="dcterms:W3CDTF">2017-09-13T13:49:00Z</dcterms:modified>
</cp:coreProperties>
</file>