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Чермашенцев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 каталог для программ лабораторной работы № 6, в который был добавлен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Рассмотрим примеры программ, выводящих символьные и числовые значения. Эти программы будут выводить данные,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4042610" cy="3272589"/>
            <wp:effectExtent b="0" l="0" r="0" t="0"/>
            <wp:docPr descr="Рис. 1: 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lab6-1.asm</w:t>
      </w:r>
    </w:p>
    <w:p>
      <w:pPr>
        <w:pStyle w:val="BodyText"/>
      </w:pPr>
      <w:r>
        <w:t xml:space="preserve">В данной программе (рис. 1)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а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—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Затем происходит сложение значений регистров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), результат операции записывается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После этого выводится результат. Для использования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необходимо, чтобы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находился адрес, поэтому используется дополнительная переменная.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), после чего вызывается функция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8" w:name="fig:002"/>
      <w:r>
        <w:drawing>
          <wp:inline>
            <wp:extent cx="5334000" cy="727667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случае, когда ожидаем получить число 10 при выводе содержимого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фактический результат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объясняется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двоичном представлении 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(54 в десятичном),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 в десятичном). При выполнении команды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результатом будет сумма этих кодов —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 в десятичном), что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(рис. 2).</w:t>
      </w:r>
    </w:p>
    <w:p>
      <w:pPr>
        <w:pStyle w:val="BodyText"/>
      </w:pPr>
      <w:r>
        <w:t xml:space="preserve">Далее изменяем программу, заменяя символы на числа (рис. 3).</w:t>
      </w:r>
    </w:p>
    <w:p>
      <w:pPr>
        <w:pStyle w:val="CaptionedFigure"/>
      </w:pPr>
      <w:bookmarkStart w:id="32" w:name="fig:003"/>
      <w:r>
        <w:drawing>
          <wp:inline>
            <wp:extent cx="3734602" cy="2897204"/>
            <wp:effectExtent b="0" l="0" r="0" t="0"/>
            <wp:docPr descr="Рис. 3: Программа в файле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bookmarkStart w:id="36" w:name="fig:004"/>
      <w:r>
        <w:drawing>
          <wp:inline>
            <wp:extent cx="5334000" cy="818550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примере, при выполнении программы мы не получаем число 10. Вместо этого выводится символ с кодом 10, который представляет собой символ конца строки (возврат каретки). Этот символ не отображается в консоли, но добавляет пустую строку.</w:t>
      </w:r>
    </w:p>
    <w:p>
      <w:pPr>
        <w:pStyle w:val="BodyText"/>
      </w:pPr>
      <w:r>
        <w:t xml:space="preserve">Как упоминалось ранее,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Преобразовал программу с использованием этих функций (рис. 5).</w:t>
      </w:r>
    </w:p>
    <w:p>
      <w:pPr>
        <w:pStyle w:val="CaptionedFigure"/>
      </w:pPr>
      <w:bookmarkStart w:id="40" w:name="fig:005"/>
      <w:r>
        <w:drawing>
          <wp:inline>
            <wp:extent cx="4158113" cy="2666197"/>
            <wp:effectExtent b="0" l="0" r="0" t="0"/>
            <wp:docPr descr="Рис. 5: Программа в файле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bookmarkStart w:id="44" w:name="fig:006"/>
      <w:r>
        <w:drawing>
          <wp:inline>
            <wp:extent cx="5334000" cy="843987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выполнения программы выводится число 106 (рис. 6). В этом случае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суммирует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Однако, в отличие от предыдущей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который соответствует этому числу.</w:t>
      </w:r>
    </w:p>
    <w:p>
      <w:pPr>
        <w:pStyle w:val="BodyText"/>
      </w:pPr>
      <w:r>
        <w:t xml:space="preserve">Аналогично предыдущему примеру изменяем символы на числа (рис. 7).</w:t>
      </w:r>
    </w:p>
    <w:p>
      <w:pPr>
        <w:pStyle w:val="CaptionedFigure"/>
      </w:pPr>
      <w:bookmarkStart w:id="48" w:name="fig:007"/>
      <w:r>
        <w:drawing>
          <wp:inline>
            <wp:extent cx="4177364" cy="2242686"/>
            <wp:effectExtent b="0" l="0" r="0" t="0"/>
            <wp:docPr descr="Рис. 7: Программа в файле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являются числа, а не коды символов. Поэтому на экране будет выведено число 10 (рис. 8).</w:t>
      </w:r>
    </w:p>
    <w:p>
      <w:pPr>
        <w:pStyle w:val="CaptionedFigure"/>
      </w:pPr>
      <w:bookmarkStart w:id="52" w:name="fig:008"/>
      <w:r>
        <w:drawing>
          <wp:inline>
            <wp:extent cx="5334000" cy="1202764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, создал исполняемый файл и запустил его. Вывод отличается тем, что теперь нет переноса строки (рис. 9).</w:t>
      </w:r>
    </w:p>
    <w:p>
      <w:pPr>
        <w:pStyle w:val="CaptionedFigure"/>
      </w:pPr>
      <w:bookmarkStart w:id="56" w:name="fig:009"/>
      <w:r>
        <w:drawing>
          <wp:inline>
            <wp:extent cx="5334000" cy="527391"/>
            <wp:effectExtent b="0" l="0" r="0" t="0"/>
            <wp:docPr descr="Рис. 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Для примера арифметических операций в NASM привожу программу для вычисления выражения (рис. 10) (рис. 11):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×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aptionedFigure"/>
      </w:pPr>
      <w:bookmarkStart w:id="60" w:name="fig:010"/>
      <w:r>
        <w:drawing>
          <wp:inline>
            <wp:extent cx="4408370" cy="5034012"/>
            <wp:effectExtent b="0" l="0" r="0" t="0"/>
            <wp:docPr descr="Рис. 10: Программа в файле lab6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bookmarkStart w:id="64" w:name="fig:011"/>
      <w:r>
        <w:drawing>
          <wp:inline>
            <wp:extent cx="5334000" cy="678506"/>
            <wp:effectExtent b="0" l="0" r="0" t="0"/>
            <wp:docPr descr="Рис. 11: Запуск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программу для вычисления выражения: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Создал исполняемый файл и проверил его работу (рис. 12) (рис. 13).</w:t>
      </w:r>
    </w:p>
    <w:p>
      <w:pPr>
        <w:pStyle w:val="CaptionedFigure"/>
      </w:pPr>
      <w:bookmarkStart w:id="68" w:name="fig:012"/>
      <w:r>
        <w:drawing>
          <wp:inline>
            <wp:extent cx="4831882" cy="5053263"/>
            <wp:effectExtent b="0" l="0" r="0" t="0"/>
            <wp:docPr descr="Рис. 12: Программа в файле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82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bookmarkStart w:id="72" w:name="fig:013"/>
      <w:r>
        <w:drawing>
          <wp:inline>
            <wp:extent cx="5334000" cy="843987"/>
            <wp:effectExtent b="0" l="0" r="0" t="0"/>
            <wp:docPr descr="Рис. 13: Запуск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Рассмотрим еще один пример программы для вычисления варианта задания по номеру студенческого билета (рис. 14) (рис. 15).</w:t>
      </w:r>
    </w:p>
    <w:p>
      <w:pPr>
        <w:pStyle w:val="BodyText"/>
      </w:pPr>
      <w:r>
        <w:t xml:space="preserve">В этом примере число, с которым нужно проводить арифметические операции, вводится с клавиатуры. Так как ввод осуществляется в виде символов, для корректной работы арифметических операций символы необходимо преобразовать в числа. Для этого используется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6" w:name="fig:014"/>
      <w:r>
        <w:drawing>
          <wp:inline>
            <wp:extent cx="4793381" cy="4937760"/>
            <wp:effectExtent b="0" l="0" r="0" t="0"/>
            <wp:docPr descr="Рис. 14: Программа в файле variant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bookmarkStart w:id="80" w:name="fig:015"/>
      <w:r>
        <w:drawing>
          <wp:inline>
            <wp:extent cx="5334000" cy="865516"/>
            <wp:effectExtent b="0" l="0" r="0" t="0"/>
            <wp:docPr descr="Рис. 15: Запуск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программы variant.asm</w:t>
      </w:r>
    </w:p>
    <w:bookmarkStart w:id="81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Какие строки листинга отвечают за вывод на экран сообщения «Ваш вариант:»?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записывает в регистр значение переменной с фразой «Ваш вариант:», а строка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этой строки на экран.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Для чего используются следующие инструкции?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nasm</w:t>
      </w:r>
      <w:r>
        <w:t xml:space="preserve">: используется для компиляции кода на языке ассемблера NASM.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mov ecx, x</w:t>
      </w:r>
      <w:r>
        <w:t xml:space="preserve">: перемещает значение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mov edx, 80</w:t>
      </w:r>
      <w:r>
        <w:t xml:space="preserve">: перемещает значение 80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call sread</w:t>
      </w:r>
      <w:r>
        <w:t xml:space="preserve">: вызывает подпрограмму для считывания значения студенческого билета с консоли.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call atoi</w:t>
      </w:r>
      <w:r>
        <w:rPr>
          <w:bCs/>
          <w:b/>
        </w:rP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atoi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Какие строки листинга отвечают за вычисления варианта?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xor edx, edx</w:t>
      </w:r>
      <w:r>
        <w:t xml:space="preserve">: 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mov ebx, 20</w:t>
      </w:r>
      <w:r>
        <w:t xml:space="preserve">: записывает значение 20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div ebx</w:t>
      </w:r>
      <w:r>
        <w:t xml:space="preserve">: выполняет деление номера студенческого билета на 20.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inc edx</w:t>
      </w:r>
      <w:r>
        <w:t xml:space="preserve">: 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В какой регистр записывается остаток от деления при выполнении инструкции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div ebx</w:t>
      </w:r>
      <w:r>
        <w:rPr>
          <w:bCs/>
          <w:b/>
        </w:rPr>
        <w:t xml:space="preserve">?</w:t>
      </w:r>
    </w:p>
    <w:p>
      <w:pPr>
        <w:pStyle w:val="FirstParagraph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Для чего используется инструкция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inc edx</w:t>
      </w:r>
      <w:r>
        <w:rPr>
          <w:bCs/>
          <w:b/>
        </w:rP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1, что соответствует формуле вычисления варианта.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, а строка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этого результата на экран.</w:t>
      </w:r>
    </w:p>
    <w:bookmarkEnd w:id="81"/>
    <w:bookmarkStart w:id="90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Написана программа для вычисления выражения $ y = f(x) $.</w:t>
      </w:r>
      <w:r>
        <w:t xml:space="preserve"> </w:t>
      </w:r>
      <w:r>
        <w:t xml:space="preserve">Программа выводит формулу для вычисления, запрашивает ввод</w:t>
      </w:r>
      <w:r>
        <w:t xml:space="preserve"> </w:t>
      </w:r>
      <w:r>
        <w:t xml:space="preserve">значения $ x $, вычисляет выражение в зависимости</w:t>
      </w:r>
      <w:r>
        <w:t xml:space="preserve"> </w:t>
      </w:r>
      <w:r>
        <w:t xml:space="preserve">от введенного $ x $ и выводит результат.</w:t>
      </w:r>
      <w:r>
        <w:t xml:space="preserve"> </w:t>
      </w:r>
      <w:r>
        <w:t xml:space="preserve">В зависимости от лабораторного задания,</w:t>
      </w:r>
      <w:r>
        <w:t xml:space="preserve"> </w:t>
      </w:r>
      <w:r>
        <w:t xml:space="preserve">был выбран вариант 11 — $ 10(x + 1) - 10 $</w:t>
      </w:r>
      <w:r>
        <w:t xml:space="preserve"> </w:t>
      </w:r>
      <w:r>
        <w:t xml:space="preserve">для $ x_1 = 1 $, $ x_2 = 7 $ (рис. 16) (рис. 17).</w:t>
      </w:r>
    </w:p>
    <w:p>
      <w:pPr>
        <w:pStyle w:val="CaptionedFigure"/>
      </w:pPr>
      <w:bookmarkStart w:id="85" w:name="fig:016"/>
      <w:r>
        <w:drawing>
          <wp:inline>
            <wp:extent cx="4215865" cy="5428648"/>
            <wp:effectExtent b="0" l="0" r="0" t="0"/>
            <wp:docPr descr="Рис. 16: Программа в файле task.asm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Программа в файле task.asm</w:t>
      </w:r>
    </w:p>
    <w:p>
      <w:pPr>
        <w:pStyle w:val="CaptionedFigure"/>
      </w:pPr>
      <w:bookmarkStart w:id="89" w:name="fig:017"/>
      <w:r>
        <w:drawing>
          <wp:inline>
            <wp:extent cx="5334000" cy="1590714"/>
            <wp:effectExtent b="0" l="0" r="0" t="0"/>
            <wp:docPr descr="Рис. 17: Запуск программы task.asm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Запуск программы task.asm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Чермашенцев Павел Андреевич НБИбд-03-24</dc:creator>
  <dc:language>ru-RU</dc:language>
  <cp:keywords/>
  <dcterms:created xsi:type="dcterms:W3CDTF">2024-12-17T15:08:46Z</dcterms:created>
  <dcterms:modified xsi:type="dcterms:W3CDTF">2024-12-17T15:08:46Z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