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German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grade of “C” or higher must be earned in all courses counted toward a major in German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who major in German complete a minimum of eight German courses numbered GER- 315 or above.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are urged to substitute study abroad in a program approved by the College and the Department for up to three of these courses. One German literature course must be taken in the senior year.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 GER 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selecting German as a second teaching field should complete a minimum of four German courses numbered 315 or above. Any advanced courses taken for the second teaching field should include German Composition and Conversation (GER-315).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considering German/German Studies as a potential major should consult with a faculty member in the Foreign Language department to determine level of placement.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who study in a German-speaking country for a term can start counting their “minor” with Elementary German I (GER-115).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