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РАСЧЁТЫ КОЭФФИЦИЕНТОВ ПО ГЛАВЕ 2</w:t>
      </w:r>
    </w:p>
    <w:p>
      <w:r>
        <w:rPr>
          <w:rFonts w:ascii="Times New Roman" w:hAnsi="Times New Roman"/>
          <w:sz w:val="24"/>
        </w:rPr>
        <w:t>Дипломная работа: «Экономическое функционирование предприятия на строительном рынке».</w:t>
      </w:r>
    </w:p>
    <w:p>
      <w:r>
        <w:rPr>
          <w:rFonts w:ascii="Times New Roman" w:hAnsi="Times New Roman"/>
          <w:sz w:val="24"/>
        </w:rPr>
        <w:t>Объект: малое строительное предприятие ООО «ХХХ», численность 80 чел.</w:t>
      </w:r>
    </w:p>
    <w:p>
      <w:r>
        <w:rPr>
          <w:rFonts w:ascii="Times New Roman" w:hAnsi="Times New Roman"/>
          <w:sz w:val="24"/>
        </w:rPr>
        <w:t>Период анализа: 2021, 2022, 2023 гг. (основной); 2024, 2025 — прогнозное продолжение.</w:t>
      </w:r>
    </w:p>
    <w:p>
      <w:r>
        <w:rPr>
          <w:rFonts w:ascii="Times New Roman" w:hAnsi="Times New Roman"/>
          <w:sz w:val="24"/>
        </w:rPr>
        <w:t>Единица измерения: тыс. 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sz w:val="24"/>
        </w:rPr>
        <w:t>Все исходные данные взяты из заполненных таблиц файла «ГЛАВА 2 (заполненный).docx». Балансовое тождество (Активы = Пассивы) соблюдено для каждого года. Все расчёты выполнены вручную по формулам, написанным в Главе 2.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 — Среднегодовая стоимость основных фондов</w:t>
      </w:r>
    </w:p>
    <w:p>
      <w:r>
        <w:rPr>
          <w:rFonts w:ascii="Times New Roman" w:hAnsi="Times New Roman"/>
          <w:sz w:val="24"/>
        </w:rPr>
        <w:t>Что показывает: средняя за год величина основных фондов; база для всех показателей фондоэффективности.</w:t>
      </w:r>
    </w:p>
    <w:p>
      <w:r>
        <w:rPr>
          <w:rFonts w:ascii="Times New Roman" w:hAnsi="Times New Roman"/>
          <w:b/>
          <w:sz w:val="24"/>
        </w:rPr>
        <w:t>Формула (Глава 2, ф. 2.1):</w:t>
      </w:r>
    </w:p>
    <w:p>
      <w:r>
        <w:rPr>
          <w:rFonts w:ascii="Times New Roman" w:hAnsi="Times New Roman"/>
          <w:sz w:val="24"/>
        </w:rPr>
        <w:t xml:space="preserve">   ОФср = (ОФ на начало года + ОФ на конец года) / 2</w:t>
      </w:r>
    </w:p>
    <w:p>
      <w:r>
        <w:rPr>
          <w:rFonts w:ascii="Times New Roman" w:hAnsi="Times New Roman"/>
          <w:sz w:val="24"/>
        </w:rPr>
        <w:t>Расшифровка: ОФ на начало / конец года — данные из Таблицы 2.3 «Показатели движения основных фондов».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ОФ на начало 2021 = 12 000 тыс. руб. (Таблица 2.3, строка «Стоимость ОФ на начало года»).</w:t>
      </w:r>
    </w:p>
    <w:p>
      <w:r>
        <w:rPr>
          <w:rFonts w:ascii="Times New Roman" w:hAnsi="Times New Roman"/>
          <w:sz w:val="24"/>
        </w:rPr>
        <w:t xml:space="preserve">   Шаг 2: ОФ на конец 2021  = 14 000 тыс. руб. (Таблица 2.3, строка «Стоимость на конец года»).</w:t>
      </w:r>
    </w:p>
    <w:p>
      <w:r>
        <w:rPr>
          <w:rFonts w:ascii="Times New Roman" w:hAnsi="Times New Roman"/>
          <w:sz w:val="24"/>
        </w:rPr>
        <w:t xml:space="preserve">   Шаг 3: ОФср = (12 000 + 14 000) / 2 = 13 000 тыс. 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ОФ на начало 2022 = 14 000 тыс. руб. (Таблица 2.3, строка «Стоимость ОФ на начало года»).</w:t>
      </w:r>
    </w:p>
    <w:p>
      <w:r>
        <w:rPr>
          <w:rFonts w:ascii="Times New Roman" w:hAnsi="Times New Roman"/>
          <w:sz w:val="24"/>
        </w:rPr>
        <w:t xml:space="preserve">   Шаг 2: ОФ на конец 2022  = 18 000 тыс. руб. (Таблица 2.3, строка «Стоимость на конец года»).</w:t>
      </w:r>
    </w:p>
    <w:p>
      <w:r>
        <w:rPr>
          <w:rFonts w:ascii="Times New Roman" w:hAnsi="Times New Roman"/>
          <w:sz w:val="24"/>
        </w:rPr>
        <w:t xml:space="preserve">   Шаг 3: ОФср = (14 000 + 18 000) / 2 = 16 000 тыс. 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ОФ на начало 2023 = 18 000 тыс. руб. (Таблица 2.3, строка «Стоимость ОФ на начало года»).</w:t>
      </w:r>
    </w:p>
    <w:p>
      <w:r>
        <w:rPr>
          <w:rFonts w:ascii="Times New Roman" w:hAnsi="Times New Roman"/>
          <w:sz w:val="24"/>
        </w:rPr>
        <w:t xml:space="preserve">   Шаг 2: ОФ на конец 2023  = 22 000 тыс. руб. (Таблица 2.3, строка «Стоимость на конец года»).</w:t>
      </w:r>
    </w:p>
    <w:p>
      <w:r>
        <w:rPr>
          <w:rFonts w:ascii="Times New Roman" w:hAnsi="Times New Roman"/>
          <w:sz w:val="24"/>
        </w:rPr>
        <w:t xml:space="preserve">   Шаг 3: ОФср = (18 000 + 22 000) / 2 = 20 000 тыс. руб.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Тенденция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ОФср, тыс. руб.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13 000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16 000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20 000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+54% за 3 года</w:t>
            </w:r>
          </w:p>
        </w:tc>
      </w:tr>
    </w:tbl>
    <w:p>
      <w:r>
        <w:rPr>
          <w:rFonts w:ascii="Times New Roman" w:hAnsi="Times New Roman"/>
          <w:sz w:val="24"/>
        </w:rPr>
        <w:t>Вывод: среднегодовая стоимость ОФ увеличилась с 13 000 до 20 000 тыс. руб. — на 54%. Рост связан с активной закупкой строительной техники и оборудования при расширении подрядной деятельности.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2 — Коэффициент обновления основных фондов</w:t>
      </w:r>
    </w:p>
    <w:p>
      <w:r>
        <w:rPr>
          <w:rFonts w:ascii="Times New Roman" w:hAnsi="Times New Roman"/>
          <w:sz w:val="24"/>
        </w:rPr>
        <w:t>Что показывает: долю поступивших ОФ в их стоимости на конец года. Для строительной компании отражает темпы модернизации парка техники.</w:t>
      </w:r>
    </w:p>
    <w:p>
      <w:r>
        <w:rPr>
          <w:rFonts w:ascii="Times New Roman" w:hAnsi="Times New Roman"/>
          <w:b/>
          <w:sz w:val="24"/>
        </w:rPr>
        <w:t>Формула (Глава 2, ф. 2.2):</w:t>
      </w:r>
    </w:p>
    <w:p>
      <w:r>
        <w:rPr>
          <w:rFonts w:ascii="Times New Roman" w:hAnsi="Times New Roman"/>
          <w:sz w:val="24"/>
        </w:rPr>
        <w:t xml:space="preserve">   Кобн = Стоимость поступивших ОФ / Стоимость ОФ на конец года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Поступило ОФ = 2 500 тыс. руб. (Таблица 2.3).</w:t>
      </w:r>
    </w:p>
    <w:p>
      <w:r>
        <w:rPr>
          <w:rFonts w:ascii="Times New Roman" w:hAnsi="Times New Roman"/>
          <w:sz w:val="24"/>
        </w:rPr>
        <w:t xml:space="preserve">   Шаг 2: ОФ на конец = 14 000 тыс. руб.</w:t>
      </w:r>
    </w:p>
    <w:p>
      <w:r>
        <w:rPr>
          <w:rFonts w:ascii="Times New Roman" w:hAnsi="Times New Roman"/>
          <w:sz w:val="24"/>
        </w:rPr>
        <w:t xml:space="preserve">   Шаг 3: Кобн = 2 500 / 14 000 = 0,18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Поступило ОФ = 4 500 тыс. руб. (Таблица 2.3).</w:t>
      </w:r>
    </w:p>
    <w:p>
      <w:r>
        <w:rPr>
          <w:rFonts w:ascii="Times New Roman" w:hAnsi="Times New Roman"/>
          <w:sz w:val="24"/>
        </w:rPr>
        <w:t xml:space="preserve">   Шаг 2: ОФ на конец = 18 000 тыс. руб.</w:t>
      </w:r>
    </w:p>
    <w:p>
      <w:r>
        <w:rPr>
          <w:rFonts w:ascii="Times New Roman" w:hAnsi="Times New Roman"/>
          <w:sz w:val="24"/>
        </w:rPr>
        <w:t xml:space="preserve">   Шаг 3: Кобн = 4 500 / 18 000 = 0,25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Поступило ОФ = 4 500 тыс. руб. (Таблица 2.3).</w:t>
      </w:r>
    </w:p>
    <w:p>
      <w:r>
        <w:rPr>
          <w:rFonts w:ascii="Times New Roman" w:hAnsi="Times New Roman"/>
          <w:sz w:val="24"/>
        </w:rPr>
        <w:t xml:space="preserve">   Шаг 2: ОФ на конец = 22 000 тыс. руб.</w:t>
      </w:r>
    </w:p>
    <w:p>
      <w:r>
        <w:rPr>
          <w:rFonts w:ascii="Times New Roman" w:hAnsi="Times New Roman"/>
          <w:sz w:val="24"/>
        </w:rPr>
        <w:t xml:space="preserve">   Шаг 3: Кобн = 4 500 / 22 000 = 0,20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Кобн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0,18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0,25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0,20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0,10–0,15</w:t>
            </w:r>
          </w:p>
        </w:tc>
      </w:tr>
    </w:tbl>
    <w:p>
      <w:r>
        <w:rPr>
          <w:rFonts w:ascii="Times New Roman" w:hAnsi="Times New Roman"/>
          <w:sz w:val="24"/>
        </w:rPr>
        <w:t>Вывод: коэффициент обновления (0,18–0,25) во все три года значительно выше рекомендуемого уровня. Это означает активную инвестиционную политику ООО «ХХХ»: предприятие быстро обновляет парк строительной техники, что необходимо для увеличения объёма СМР.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3 — Коэффициент выбытия основных фондов</w:t>
      </w:r>
    </w:p>
    <w:p>
      <w:r>
        <w:rPr>
          <w:rFonts w:ascii="Times New Roman" w:hAnsi="Times New Roman"/>
          <w:sz w:val="24"/>
        </w:rPr>
        <w:t>Что показывает: долю выбывших ОФ в их стоимости на начало периода. Низкое значение — признак свежего парка ОФ.</w:t>
      </w:r>
    </w:p>
    <w:p>
      <w:r>
        <w:rPr>
          <w:rFonts w:ascii="Times New Roman" w:hAnsi="Times New Roman"/>
          <w:b/>
          <w:sz w:val="24"/>
        </w:rPr>
        <w:t>Формула (Глава 2, ф. 2.3):</w:t>
      </w:r>
    </w:p>
    <w:p>
      <w:r>
        <w:rPr>
          <w:rFonts w:ascii="Times New Roman" w:hAnsi="Times New Roman"/>
          <w:sz w:val="24"/>
        </w:rPr>
        <w:t xml:space="preserve">   Квыб = Стоимость выбывших ОФ / Стоимость ОФ на начало года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Выбыло ОФ = 500 тыс. руб.</w:t>
      </w:r>
    </w:p>
    <w:p>
      <w:r>
        <w:rPr>
          <w:rFonts w:ascii="Times New Roman" w:hAnsi="Times New Roman"/>
          <w:sz w:val="24"/>
        </w:rPr>
        <w:t xml:space="preserve">   Шаг 2: ОФ на начало = 12 000 тыс. руб.</w:t>
      </w:r>
    </w:p>
    <w:p>
      <w:r>
        <w:rPr>
          <w:rFonts w:ascii="Times New Roman" w:hAnsi="Times New Roman"/>
          <w:sz w:val="24"/>
        </w:rPr>
        <w:t xml:space="preserve">   Шаг 3: Квыб = 500 / 12 000 = 0,04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Выбыло ОФ = 500 тыс. руб.</w:t>
      </w:r>
    </w:p>
    <w:p>
      <w:r>
        <w:rPr>
          <w:rFonts w:ascii="Times New Roman" w:hAnsi="Times New Roman"/>
          <w:sz w:val="24"/>
        </w:rPr>
        <w:t xml:space="preserve">   Шаг 2: ОФ на начало = 14 000 тыс. руб.</w:t>
      </w:r>
    </w:p>
    <w:p>
      <w:r>
        <w:rPr>
          <w:rFonts w:ascii="Times New Roman" w:hAnsi="Times New Roman"/>
          <w:sz w:val="24"/>
        </w:rPr>
        <w:t xml:space="preserve">   Шаг 3: Квыб = 500 / 14 000 = 0,04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Выбыло ОФ = 500 тыс. руб.</w:t>
      </w:r>
    </w:p>
    <w:p>
      <w:r>
        <w:rPr>
          <w:rFonts w:ascii="Times New Roman" w:hAnsi="Times New Roman"/>
          <w:sz w:val="24"/>
        </w:rPr>
        <w:t xml:space="preserve">   Шаг 2: ОФ на начало = 18 000 тыс. руб.</w:t>
      </w:r>
    </w:p>
    <w:p>
      <w:r>
        <w:rPr>
          <w:rFonts w:ascii="Times New Roman" w:hAnsi="Times New Roman"/>
          <w:sz w:val="24"/>
        </w:rPr>
        <w:t xml:space="preserve">   Шаг 3: Квыб = 500 / 18 000 = 0,03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Квыб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0,04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0,04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0,03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≤ 0,05</w:t>
            </w:r>
          </w:p>
        </w:tc>
      </w:tr>
    </w:tbl>
    <w:p>
      <w:r>
        <w:rPr>
          <w:rFonts w:ascii="Times New Roman" w:hAnsi="Times New Roman"/>
          <w:sz w:val="24"/>
        </w:rPr>
        <w:t>Вывод: Квыб устойчиво снижается (0,04 → 0,03), что соответствует нормативу. Кобн превышает Квыб в 4–7 раз — компания наращивает парк ОФ, причём быстрее, чем списывает старую технику. Парк ОФ становится новее и крупнее.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4 — Фондоотдача</w:t>
      </w:r>
    </w:p>
    <w:p>
      <w:r>
        <w:rPr>
          <w:rFonts w:ascii="Times New Roman" w:hAnsi="Times New Roman"/>
          <w:sz w:val="24"/>
        </w:rPr>
        <w:t>Что показывает: объём выручки на 1 руб. среднегодовой стоимости ОФ. Чем выше — тем эффективнее работают ОФ.</w:t>
      </w:r>
    </w:p>
    <w:p>
      <w:r>
        <w:rPr>
          <w:rFonts w:ascii="Times New Roman" w:hAnsi="Times New Roman"/>
          <w:b/>
          <w:sz w:val="24"/>
        </w:rPr>
        <w:t>Формула (Глава 2, ф. 2.4):</w:t>
      </w:r>
    </w:p>
    <w:p>
      <w:r>
        <w:rPr>
          <w:rFonts w:ascii="Times New Roman" w:hAnsi="Times New Roman"/>
          <w:sz w:val="24"/>
        </w:rPr>
        <w:t xml:space="preserve">   Fо = Q / ОФср</w:t>
      </w:r>
    </w:p>
    <w:p>
      <w:r>
        <w:rPr>
          <w:rFonts w:ascii="Times New Roman" w:hAnsi="Times New Roman"/>
          <w:sz w:val="24"/>
        </w:rPr>
        <w:t>Q — выручка; ОФср — среднегод. стоимость ОФ.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Q = 55 000 тыс. руб. (Таблица 2.4, строка «Выручка»).</w:t>
      </w:r>
    </w:p>
    <w:p>
      <w:r>
        <w:rPr>
          <w:rFonts w:ascii="Times New Roman" w:hAnsi="Times New Roman"/>
          <w:sz w:val="24"/>
        </w:rPr>
        <w:t xml:space="preserve">   Шаг 2: ОФср = 13 000 тыс. руб.</w:t>
      </w:r>
    </w:p>
    <w:p>
      <w:r>
        <w:rPr>
          <w:rFonts w:ascii="Times New Roman" w:hAnsi="Times New Roman"/>
          <w:sz w:val="24"/>
        </w:rPr>
        <w:t xml:space="preserve">   Шаг 3: Fо = 55 000 / 13 000 = 4,23 руб./руб.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Q = 65 000 тыс. руб. (Таблица 2.4, строка «Выручка»).</w:t>
      </w:r>
    </w:p>
    <w:p>
      <w:r>
        <w:rPr>
          <w:rFonts w:ascii="Times New Roman" w:hAnsi="Times New Roman"/>
          <w:sz w:val="24"/>
        </w:rPr>
        <w:t xml:space="preserve">   Шаг 2: ОФср = 16 000 тыс. руб.</w:t>
      </w:r>
    </w:p>
    <w:p>
      <w:r>
        <w:rPr>
          <w:rFonts w:ascii="Times New Roman" w:hAnsi="Times New Roman"/>
          <w:sz w:val="24"/>
        </w:rPr>
        <w:t xml:space="preserve">   Шаг 3: Fо = 65 000 / 16 000 = 4,06 руб./руб.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Q = 78 000 тыс. руб. (Таблица 2.4, строка «Выручка»).</w:t>
      </w:r>
    </w:p>
    <w:p>
      <w:r>
        <w:rPr>
          <w:rFonts w:ascii="Times New Roman" w:hAnsi="Times New Roman"/>
          <w:sz w:val="24"/>
        </w:rPr>
        <w:t xml:space="preserve">   Шаг 2: ОФср = 20 000 тыс. руб.</w:t>
      </w:r>
    </w:p>
    <w:p>
      <w:r>
        <w:rPr>
          <w:rFonts w:ascii="Times New Roman" w:hAnsi="Times New Roman"/>
          <w:sz w:val="24"/>
        </w:rPr>
        <w:t xml:space="preserve">   Шаг 3: Fо = 78 000 / 20 000 = 3,90 руб./руб.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Фондоотдача (Fо)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4,23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4,06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3,90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3,0</w:t>
            </w:r>
          </w:p>
        </w:tc>
      </w:tr>
    </w:tbl>
    <w:p>
      <w:r>
        <w:rPr>
          <w:rFonts w:ascii="Times New Roman" w:hAnsi="Times New Roman"/>
          <w:sz w:val="24"/>
        </w:rPr>
        <w:t>Вывод: фондоотдача снижается с 4,23 до 3,90, но кратно превышает отраслевой ориентир 3,0. Снижение объясняется опережающим ростом ОФ (на 54% за 3 года) против роста выручки (на 42%). Тем не менее каждый рубль ОФ генерирует 3,9–4,2 руб. выручки — это высокий уровень эффективности использования основных фондов для подрядной строительной компании.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5 — Фондоёмкость</w:t>
      </w:r>
    </w:p>
    <w:p>
      <w:r>
        <w:rPr>
          <w:rFonts w:ascii="Times New Roman" w:hAnsi="Times New Roman"/>
          <w:sz w:val="24"/>
        </w:rPr>
        <w:t>Что показывает: количество тыс. руб. ОФ, требующихся на каждую тыс. руб. выручки. Обратный показатель к фондоотдаче.</w:t>
      </w:r>
    </w:p>
    <w:p>
      <w:r>
        <w:rPr>
          <w:rFonts w:ascii="Times New Roman" w:hAnsi="Times New Roman"/>
          <w:b/>
          <w:sz w:val="24"/>
        </w:rPr>
        <w:t>Формула (Глава 2, ф. 2.5):</w:t>
      </w:r>
    </w:p>
    <w:p>
      <w:r>
        <w:rPr>
          <w:rFonts w:ascii="Times New Roman" w:hAnsi="Times New Roman"/>
          <w:sz w:val="24"/>
        </w:rPr>
        <w:t xml:space="preserve">   Fе = ОФср / Q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ОФср = 13 000 тыс. руб.</w:t>
      </w:r>
    </w:p>
    <w:p>
      <w:r>
        <w:rPr>
          <w:rFonts w:ascii="Times New Roman" w:hAnsi="Times New Roman"/>
          <w:sz w:val="24"/>
        </w:rPr>
        <w:t xml:space="preserve">   Шаг 2: Q = 55 000 тыс. руб.</w:t>
      </w:r>
    </w:p>
    <w:p>
      <w:r>
        <w:rPr>
          <w:rFonts w:ascii="Times New Roman" w:hAnsi="Times New Roman"/>
          <w:sz w:val="24"/>
        </w:rPr>
        <w:t xml:space="preserve">   Шаг 3: Fе = 13 000 / 55 000 = 0,24 руб./руб.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ОФср = 16 000 тыс. руб.</w:t>
      </w:r>
    </w:p>
    <w:p>
      <w:r>
        <w:rPr>
          <w:rFonts w:ascii="Times New Roman" w:hAnsi="Times New Roman"/>
          <w:sz w:val="24"/>
        </w:rPr>
        <w:t xml:space="preserve">   Шаг 2: Q = 65 000 тыс. руб.</w:t>
      </w:r>
    </w:p>
    <w:p>
      <w:r>
        <w:rPr>
          <w:rFonts w:ascii="Times New Roman" w:hAnsi="Times New Roman"/>
          <w:sz w:val="24"/>
        </w:rPr>
        <w:t xml:space="preserve">   Шаг 3: Fе = 16 000 / 65 000 = 0,25 руб./руб.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ОФср = 20 000 тыс. руб.</w:t>
      </w:r>
    </w:p>
    <w:p>
      <w:r>
        <w:rPr>
          <w:rFonts w:ascii="Times New Roman" w:hAnsi="Times New Roman"/>
          <w:sz w:val="24"/>
        </w:rPr>
        <w:t xml:space="preserve">   Шаг 2: Q = 78 000 тыс. руб.</w:t>
      </w:r>
    </w:p>
    <w:p>
      <w:r>
        <w:rPr>
          <w:rFonts w:ascii="Times New Roman" w:hAnsi="Times New Roman"/>
          <w:sz w:val="24"/>
        </w:rPr>
        <w:t xml:space="preserve">   Шаг 3: Fе = 20 000 / 78 000 = 0,26 руб./руб.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Фондоёмкость (Fе)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0,24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0,25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0,26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≤ 0,33</w:t>
            </w:r>
          </w:p>
        </w:tc>
      </w:tr>
    </w:tbl>
    <w:p>
      <w:r>
        <w:rPr>
          <w:rFonts w:ascii="Times New Roman" w:hAnsi="Times New Roman"/>
          <w:sz w:val="24"/>
        </w:rPr>
        <w:t>Вывод: фондоёмкость растёт незначительно (0,24 → 0,26), укладываясь в норматив ≤ 0,33. Рост закономерен: при увеличении парка спецтехники на 1 руб. выручки приходится чуть больше ОФ. Уровень остаётся экономным.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6 — Фондовооружённость труда</w:t>
      </w:r>
    </w:p>
    <w:p>
      <w:r>
        <w:rPr>
          <w:rFonts w:ascii="Times New Roman" w:hAnsi="Times New Roman"/>
          <w:sz w:val="24"/>
        </w:rPr>
        <w:t>Что показывает: сумму ОФ на одного работника. Чем выше — тем более технически оснащён труд.</w:t>
      </w:r>
    </w:p>
    <w:p>
      <w:r>
        <w:rPr>
          <w:rFonts w:ascii="Times New Roman" w:hAnsi="Times New Roman"/>
          <w:b/>
          <w:sz w:val="24"/>
        </w:rPr>
        <w:t>Формула (Глава 2, ф. 2.6):</w:t>
      </w:r>
    </w:p>
    <w:p>
      <w:r>
        <w:rPr>
          <w:rFonts w:ascii="Times New Roman" w:hAnsi="Times New Roman"/>
          <w:sz w:val="24"/>
        </w:rPr>
        <w:t xml:space="preserve">   Fв = ОФср / Ч</w:t>
      </w:r>
    </w:p>
    <w:p>
      <w:r>
        <w:rPr>
          <w:rFonts w:ascii="Times New Roman" w:hAnsi="Times New Roman"/>
          <w:sz w:val="24"/>
        </w:rPr>
        <w:t>Ч — среднесписочная численность работников (80 чел.).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ОФср = 13 000 тыс. руб.</w:t>
      </w:r>
    </w:p>
    <w:p>
      <w:r>
        <w:rPr>
          <w:rFonts w:ascii="Times New Roman" w:hAnsi="Times New Roman"/>
          <w:sz w:val="24"/>
        </w:rPr>
        <w:t xml:space="preserve">   Шаг 2: Ч = 80 чел.</w:t>
      </w:r>
    </w:p>
    <w:p>
      <w:r>
        <w:rPr>
          <w:rFonts w:ascii="Times New Roman" w:hAnsi="Times New Roman"/>
          <w:sz w:val="24"/>
        </w:rPr>
        <w:t xml:space="preserve">   Шаг 3: Fв = 13 000 / 80 = 162 тыс. руб./чел.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ОФср = 16 000 тыс. руб.</w:t>
      </w:r>
    </w:p>
    <w:p>
      <w:r>
        <w:rPr>
          <w:rFonts w:ascii="Times New Roman" w:hAnsi="Times New Roman"/>
          <w:sz w:val="24"/>
        </w:rPr>
        <w:t xml:space="preserve">   Шаг 2: Ч = 80 чел.</w:t>
      </w:r>
    </w:p>
    <w:p>
      <w:r>
        <w:rPr>
          <w:rFonts w:ascii="Times New Roman" w:hAnsi="Times New Roman"/>
          <w:sz w:val="24"/>
        </w:rPr>
        <w:t xml:space="preserve">   Шаг 3: Fв = 16 000 / 80 = 200 тыс. руб./чел.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ОФср = 20 000 тыс. руб.</w:t>
      </w:r>
    </w:p>
    <w:p>
      <w:r>
        <w:rPr>
          <w:rFonts w:ascii="Times New Roman" w:hAnsi="Times New Roman"/>
          <w:sz w:val="24"/>
        </w:rPr>
        <w:t xml:space="preserve">   Шаг 2: Ч = 80 чел.</w:t>
      </w:r>
    </w:p>
    <w:p>
      <w:r>
        <w:rPr>
          <w:rFonts w:ascii="Times New Roman" w:hAnsi="Times New Roman"/>
          <w:sz w:val="24"/>
        </w:rPr>
        <w:t xml:space="preserve">   Шаг 3: Fв = 20 000 / 80 = 250 тыс. руб./чел.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Динамика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Fв, тыс. руб./чел.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162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250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+54%</w:t>
            </w:r>
          </w:p>
        </w:tc>
      </w:tr>
    </w:tbl>
    <w:p>
      <w:r>
        <w:rPr>
          <w:rFonts w:ascii="Times New Roman" w:hAnsi="Times New Roman"/>
          <w:sz w:val="24"/>
        </w:rPr>
        <w:t>Вывод: фондовооружённость существенно растёт (163 → 250 тыс. руб./чел., +54%). Это положительная тенденция: на каждого работника приходится всё больше техники и оборудования. Для строительной компании это означает повышение производительности бригад и сокращение трудоёмкости работ.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7 — Рентабельность основных фондов (по прибыли от продаж)</w:t>
      </w:r>
    </w:p>
    <w:p>
      <w:r>
        <w:rPr>
          <w:rFonts w:ascii="Times New Roman" w:hAnsi="Times New Roman"/>
          <w:sz w:val="24"/>
        </w:rPr>
        <w:t>Что показывает: процент прибыли от продаж к среднегодовой стоимости ОФ; доходность вложений в ОФ.</w:t>
      </w:r>
    </w:p>
    <w:p>
      <w:r>
        <w:rPr>
          <w:rFonts w:ascii="Times New Roman" w:hAnsi="Times New Roman"/>
          <w:b/>
          <w:sz w:val="24"/>
        </w:rPr>
        <w:t>Формула (Глава 2, ф. 2.7):</w:t>
      </w:r>
    </w:p>
    <w:p>
      <w:r>
        <w:rPr>
          <w:rFonts w:ascii="Times New Roman" w:hAnsi="Times New Roman"/>
          <w:sz w:val="24"/>
        </w:rPr>
        <w:t xml:space="preserve">   Rоф = Pr / ОФср</w:t>
      </w:r>
    </w:p>
    <w:p>
      <w:r>
        <w:rPr>
          <w:rFonts w:ascii="Times New Roman" w:hAnsi="Times New Roman"/>
          <w:sz w:val="24"/>
        </w:rPr>
        <w:t>Pr — прибыль от продаж (Таблица 2.4).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Pr = 8 800 тыс. руб.</w:t>
      </w:r>
    </w:p>
    <w:p>
      <w:r>
        <w:rPr>
          <w:rFonts w:ascii="Times New Roman" w:hAnsi="Times New Roman"/>
          <w:sz w:val="24"/>
        </w:rPr>
        <w:t xml:space="preserve">   Шаг 2: ОФср = 13 000 тыс. руб.</w:t>
      </w:r>
    </w:p>
    <w:p>
      <w:r>
        <w:rPr>
          <w:rFonts w:ascii="Times New Roman" w:hAnsi="Times New Roman"/>
          <w:sz w:val="24"/>
        </w:rPr>
        <w:t xml:space="preserve">   Шаг 3: Rоф = 8 800 / 13 000 × 100% = 67,7 %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Pr = 10 400 тыс. руб.</w:t>
      </w:r>
    </w:p>
    <w:p>
      <w:r>
        <w:rPr>
          <w:rFonts w:ascii="Times New Roman" w:hAnsi="Times New Roman"/>
          <w:sz w:val="24"/>
        </w:rPr>
        <w:t xml:space="preserve">   Шаг 2: ОФср = 16 000 тыс. руб.</w:t>
      </w:r>
    </w:p>
    <w:p>
      <w:r>
        <w:rPr>
          <w:rFonts w:ascii="Times New Roman" w:hAnsi="Times New Roman"/>
          <w:sz w:val="24"/>
        </w:rPr>
        <w:t xml:space="preserve">   Шаг 3: Rоф = 10 400 / 16 000 × 100% = 65,0 %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Pr = 12 480 тыс. руб.</w:t>
      </w:r>
    </w:p>
    <w:p>
      <w:r>
        <w:rPr>
          <w:rFonts w:ascii="Times New Roman" w:hAnsi="Times New Roman"/>
          <w:sz w:val="24"/>
        </w:rPr>
        <w:t xml:space="preserve">   Шаг 2: ОФср = 20 000 тыс. руб.</w:t>
      </w:r>
    </w:p>
    <w:p>
      <w:r>
        <w:rPr>
          <w:rFonts w:ascii="Times New Roman" w:hAnsi="Times New Roman"/>
          <w:sz w:val="24"/>
        </w:rPr>
        <w:t xml:space="preserve">   Шаг 3: Rоф = 12 480 / 20 000 × 100% = 62,4 %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Rоф, %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67,7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65,0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62,4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20%</w:t>
            </w:r>
          </w:p>
        </w:tc>
      </w:tr>
    </w:tbl>
    <w:p>
      <w:r>
        <w:rPr>
          <w:rFonts w:ascii="Times New Roman" w:hAnsi="Times New Roman"/>
          <w:sz w:val="24"/>
        </w:rPr>
        <w:t>Вывод: рентабельность ОФ снижается (67,7% → 62,4%), но в разы превышает норматив 20%. Снижение вызвано опережающим ростом ОФ относительно прибыли от продаж — компания «вкладывается в будущее», и техника ещё не успела окупиться. Уровень доходности ОФ остаётся очень высоким, что характерно для подрядных строительных организаций с малым размером парка.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8 — Среднегодовая стоимость оборотных средств</w:t>
      </w:r>
    </w:p>
    <w:p>
      <w:r>
        <w:rPr>
          <w:rFonts w:ascii="Times New Roman" w:hAnsi="Times New Roman"/>
          <w:sz w:val="24"/>
        </w:rPr>
        <w:t>Что показывает: средний объём оборотных активов в течение года. База для всех показателей оборачиваемости.</w:t>
      </w:r>
    </w:p>
    <w:p>
      <w:r>
        <w:rPr>
          <w:rFonts w:ascii="Times New Roman" w:hAnsi="Times New Roman"/>
          <w:sz w:val="24"/>
        </w:rPr>
        <w:t>Формула: Со = (ОА на начало года + ОА на конец года) / 2</w:t>
      </w:r>
    </w:p>
    <w:p>
      <w:r>
        <w:rPr>
          <w:rFonts w:ascii="Times New Roman" w:hAnsi="Times New Roman"/>
          <w:sz w:val="24"/>
        </w:rPr>
        <w:t>ОА на начало / конец — итог Раздела II бухгалтерского баланса (Таблицы 2.5 и 2.7).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ОА на начало 2021 = 20 000 тыс. руб.</w:t>
      </w:r>
    </w:p>
    <w:p>
      <w:r>
        <w:rPr>
          <w:rFonts w:ascii="Times New Roman" w:hAnsi="Times New Roman"/>
          <w:sz w:val="24"/>
        </w:rPr>
        <w:t xml:space="preserve">   Шаг 2: ОА на конец 2021  = 22 000 тыс. руб.</w:t>
      </w:r>
    </w:p>
    <w:p>
      <w:r>
        <w:rPr>
          <w:rFonts w:ascii="Times New Roman" w:hAnsi="Times New Roman"/>
          <w:sz w:val="24"/>
        </w:rPr>
        <w:t xml:space="preserve">   Шаг 3: Со = (20 000 + 22 000) / 2 = 21 000 тыс. 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ОА на начало 2022 = 22 000 тыс. руб.</w:t>
      </w:r>
    </w:p>
    <w:p>
      <w:r>
        <w:rPr>
          <w:rFonts w:ascii="Times New Roman" w:hAnsi="Times New Roman"/>
          <w:sz w:val="24"/>
        </w:rPr>
        <w:t xml:space="preserve">   Шаг 2: ОА на конец 2022  = 28 000 тыс. руб.</w:t>
      </w:r>
    </w:p>
    <w:p>
      <w:r>
        <w:rPr>
          <w:rFonts w:ascii="Times New Roman" w:hAnsi="Times New Roman"/>
          <w:sz w:val="24"/>
        </w:rPr>
        <w:t xml:space="preserve">   Шаг 3: Со = (22 000 + 28 000) / 2 = 25 000 тыс. руб.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ОА на начало 2023 = 28 000 тыс. руб.</w:t>
      </w:r>
    </w:p>
    <w:p>
      <w:r>
        <w:rPr>
          <w:rFonts w:ascii="Times New Roman" w:hAnsi="Times New Roman"/>
          <w:sz w:val="24"/>
        </w:rPr>
        <w:t xml:space="preserve">   Шаг 2: ОА на конец 2023  = 38 560 тыс. руб.</w:t>
      </w:r>
    </w:p>
    <w:p>
      <w:r>
        <w:rPr>
          <w:rFonts w:ascii="Times New Roman" w:hAnsi="Times New Roman"/>
          <w:sz w:val="24"/>
        </w:rPr>
        <w:t xml:space="preserve">   Шаг 3: Со = (28 000 + 38 560) / 2 = 33 280 тыс. руб.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Динамика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Со, тыс. руб.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21 000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25 000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33 280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+58%</w:t>
            </w:r>
          </w:p>
        </w:tc>
      </w:tr>
    </w:tbl>
    <w:p>
      <w:r>
        <w:rPr>
          <w:rFonts w:ascii="Times New Roman" w:hAnsi="Times New Roman"/>
          <w:sz w:val="24"/>
        </w:rPr>
        <w:t>Вывод: среднегодовой остаток оборотных средств вырос на 58% (с 21 000 до 33 280 тыс. руб.), опережая рост выручки (+42%). Это сигнал об удлинении операционного цикла — основной фактор это рост дебиторской задолженности заказчиков.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9 — Коэффициент оборачиваемости оборотных средств</w:t>
      </w:r>
    </w:p>
    <w:p>
      <w:r>
        <w:rPr>
          <w:rFonts w:ascii="Times New Roman" w:hAnsi="Times New Roman"/>
          <w:sz w:val="24"/>
        </w:rPr>
        <w:t>Что показывает: количество оборотов, которое совершают оборотные средства за год.</w:t>
      </w:r>
    </w:p>
    <w:p>
      <w:r>
        <w:rPr>
          <w:rFonts w:ascii="Times New Roman" w:hAnsi="Times New Roman"/>
          <w:b/>
          <w:sz w:val="24"/>
        </w:rPr>
        <w:t>Формула (Глава 2, ф. 2.8):</w:t>
      </w:r>
    </w:p>
    <w:p>
      <w:r>
        <w:rPr>
          <w:rFonts w:ascii="Times New Roman" w:hAnsi="Times New Roman"/>
          <w:sz w:val="24"/>
        </w:rPr>
        <w:t xml:space="preserve">   Коб = Q / Со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Q = 55 000 тыс. руб.</w:t>
      </w:r>
    </w:p>
    <w:p>
      <w:r>
        <w:rPr>
          <w:rFonts w:ascii="Times New Roman" w:hAnsi="Times New Roman"/>
          <w:sz w:val="24"/>
        </w:rPr>
        <w:t xml:space="preserve">   Шаг 2: Со = 21 000 тыс. руб.</w:t>
      </w:r>
    </w:p>
    <w:p>
      <w:r>
        <w:rPr>
          <w:rFonts w:ascii="Times New Roman" w:hAnsi="Times New Roman"/>
          <w:sz w:val="24"/>
        </w:rPr>
        <w:t xml:space="preserve">   Шаг 3: Коб = 55 000 / 21 000 = 2,62 оборота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Q = 65 000 тыс. руб.</w:t>
      </w:r>
    </w:p>
    <w:p>
      <w:r>
        <w:rPr>
          <w:rFonts w:ascii="Times New Roman" w:hAnsi="Times New Roman"/>
          <w:sz w:val="24"/>
        </w:rPr>
        <w:t xml:space="preserve">   Шаг 2: Со = 25 000 тыс. руб.</w:t>
      </w:r>
    </w:p>
    <w:p>
      <w:r>
        <w:rPr>
          <w:rFonts w:ascii="Times New Roman" w:hAnsi="Times New Roman"/>
          <w:sz w:val="24"/>
        </w:rPr>
        <w:t xml:space="preserve">   Шаг 3: Коб = 65 000 / 25 000 = 2,60 оборота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Q = 78 000 тыс. руб.</w:t>
      </w:r>
    </w:p>
    <w:p>
      <w:r>
        <w:rPr>
          <w:rFonts w:ascii="Times New Roman" w:hAnsi="Times New Roman"/>
          <w:sz w:val="24"/>
        </w:rPr>
        <w:t xml:space="preserve">   Шаг 2: Со = 33 280 тыс. руб.</w:t>
      </w:r>
    </w:p>
    <w:p>
      <w:r>
        <w:rPr>
          <w:rFonts w:ascii="Times New Roman" w:hAnsi="Times New Roman"/>
          <w:sz w:val="24"/>
        </w:rPr>
        <w:t xml:space="preserve">   Шаг 3: Коб = 78 000 / 33 280 = 2,34 оборота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Коб, оборотов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2,62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2,60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2,34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3,0 (стр-во)</w:t>
            </w:r>
          </w:p>
        </w:tc>
      </w:tr>
    </w:tbl>
    <w:p>
      <w:r>
        <w:rPr>
          <w:rFonts w:ascii="Times New Roman" w:hAnsi="Times New Roman"/>
          <w:sz w:val="24"/>
        </w:rPr>
        <w:t>Вывод: коэффициент оборачиваемости снижается (2,62 → 2,34). Это означает удлинение цикла, что характерно для строительной отрасли — рост дебиторской задолженности заказчиков. Показатели ниже нормативного, что отражает специфику подрядных строительных работ (длинные циклы оплаты по госконтрактам).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10 — Средняя продолжительность одного оборота</w:t>
      </w:r>
    </w:p>
    <w:p>
      <w:r>
        <w:rPr>
          <w:rFonts w:ascii="Times New Roman" w:hAnsi="Times New Roman"/>
          <w:sz w:val="24"/>
        </w:rPr>
        <w:t>Что показывает: количество дней, за которое оборотные средства возвращаются предприятию в виде выручки.</w:t>
      </w:r>
    </w:p>
    <w:p>
      <w:r>
        <w:rPr>
          <w:rFonts w:ascii="Times New Roman" w:hAnsi="Times New Roman"/>
          <w:b/>
          <w:sz w:val="24"/>
        </w:rPr>
        <w:t>Формула (Глава 2, ф. 2.9):</w:t>
      </w:r>
    </w:p>
    <w:p>
      <w:r>
        <w:rPr>
          <w:rFonts w:ascii="Times New Roman" w:hAnsi="Times New Roman"/>
          <w:sz w:val="24"/>
        </w:rPr>
        <w:t xml:space="preserve">   Тоб = 365 / Коб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Коб = 2,62</w:t>
      </w:r>
    </w:p>
    <w:p>
      <w:r>
        <w:rPr>
          <w:rFonts w:ascii="Times New Roman" w:hAnsi="Times New Roman"/>
          <w:sz w:val="24"/>
        </w:rPr>
        <w:t xml:space="preserve">   Шаг 2: Тоб = 365 / 2,62 = 139 дней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Коб = 2,60</w:t>
      </w:r>
    </w:p>
    <w:p>
      <w:r>
        <w:rPr>
          <w:rFonts w:ascii="Times New Roman" w:hAnsi="Times New Roman"/>
          <w:sz w:val="24"/>
        </w:rPr>
        <w:t xml:space="preserve">   Шаг 2: Тоб = 365 / 2,60 = 140 дней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Коб = 2,34</w:t>
      </w:r>
    </w:p>
    <w:p>
      <w:r>
        <w:rPr>
          <w:rFonts w:ascii="Times New Roman" w:hAnsi="Times New Roman"/>
          <w:sz w:val="24"/>
        </w:rPr>
        <w:t xml:space="preserve">   Шаг 2: Тоб = 365 / 2,34 = 156 дней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Тоб, дней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139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140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156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≤ 90</w:t>
            </w:r>
          </w:p>
        </w:tc>
      </w:tr>
    </w:tbl>
    <w:p>
      <w:r>
        <w:rPr>
          <w:rFonts w:ascii="Times New Roman" w:hAnsi="Times New Roman"/>
          <w:sz w:val="24"/>
        </w:rPr>
        <w:t>Вывод: продолжительность одного оборота растёт (139 → 156 дней). Это негативная тенденция: оборотные средства «застревают» в обороте дольше, что увеличивает потребность в финансировании. Главная причина — длинный цикл «авансирование материалов → СМР → акт КС-2 → оплата заказчиком», который в строительной отрасли традиционно занимает 3–5 месяцев.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11 — Коэффициент загрузки оборотных средств</w:t>
      </w:r>
    </w:p>
    <w:p>
      <w:r>
        <w:rPr>
          <w:rFonts w:ascii="Times New Roman" w:hAnsi="Times New Roman"/>
          <w:sz w:val="24"/>
        </w:rPr>
        <w:t>Что показывает: сумму оборотных средств, авансируемых на 1 руб. выручки. Обратный показатель к коэффициенту оборачиваемости.</w:t>
      </w:r>
    </w:p>
    <w:p>
      <w:r>
        <w:rPr>
          <w:rFonts w:ascii="Times New Roman" w:hAnsi="Times New Roman"/>
          <w:b/>
          <w:sz w:val="24"/>
        </w:rPr>
        <w:t>Формула (Глава 2, ф. 2.10):</w:t>
      </w:r>
    </w:p>
    <w:p>
      <w:r>
        <w:rPr>
          <w:rFonts w:ascii="Times New Roman" w:hAnsi="Times New Roman"/>
          <w:sz w:val="24"/>
        </w:rPr>
        <w:t xml:space="preserve">   Кзагр = Со / Q  (или Кзагр = 1 / Коб)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Со = 21 000 тыс. руб.</w:t>
      </w:r>
    </w:p>
    <w:p>
      <w:r>
        <w:rPr>
          <w:rFonts w:ascii="Times New Roman" w:hAnsi="Times New Roman"/>
          <w:sz w:val="24"/>
        </w:rPr>
        <w:t xml:space="preserve">   Шаг 2: Q = 55 000 тыс. руб.</w:t>
      </w:r>
    </w:p>
    <w:p>
      <w:r>
        <w:rPr>
          <w:rFonts w:ascii="Times New Roman" w:hAnsi="Times New Roman"/>
          <w:sz w:val="24"/>
        </w:rPr>
        <w:t xml:space="preserve">   Шаг 3: Кзагр = 21 000 / 55 000 = 0,382 (38,2%)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Со = 25 000 тыс. руб.</w:t>
      </w:r>
    </w:p>
    <w:p>
      <w:r>
        <w:rPr>
          <w:rFonts w:ascii="Times New Roman" w:hAnsi="Times New Roman"/>
          <w:sz w:val="24"/>
        </w:rPr>
        <w:t xml:space="preserve">   Шаг 2: Q = 65 000 тыс. руб.</w:t>
      </w:r>
    </w:p>
    <w:p>
      <w:r>
        <w:rPr>
          <w:rFonts w:ascii="Times New Roman" w:hAnsi="Times New Roman"/>
          <w:sz w:val="24"/>
        </w:rPr>
        <w:t xml:space="preserve">   Шаг 3: Кзагр = 25 000 / 65 000 = 0,385 (38,5%)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Со = 33 280 тыс. руб.</w:t>
      </w:r>
    </w:p>
    <w:p>
      <w:r>
        <w:rPr>
          <w:rFonts w:ascii="Times New Roman" w:hAnsi="Times New Roman"/>
          <w:sz w:val="24"/>
        </w:rPr>
        <w:t xml:space="preserve">   Шаг 2: Q = 78 000 тыс. руб.</w:t>
      </w:r>
    </w:p>
    <w:p>
      <w:r>
        <w:rPr>
          <w:rFonts w:ascii="Times New Roman" w:hAnsi="Times New Roman"/>
          <w:sz w:val="24"/>
        </w:rPr>
        <w:t xml:space="preserve">   Шаг 3: Кзагр = 33 280 / 78 000 = 0,427 (42,7%)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Тенденция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Кзагр (доля)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0,382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0,385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0,427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рост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Кзагр (%)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38,2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38,5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42,7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рост</w:t>
            </w:r>
          </w:p>
        </w:tc>
      </w:tr>
    </w:tbl>
    <w:p>
      <w:r>
        <w:rPr>
          <w:rFonts w:ascii="Times New Roman" w:hAnsi="Times New Roman"/>
          <w:sz w:val="24"/>
        </w:rPr>
        <w:t>Вывод: коэффициент загрузки растёт (0,382 → 0,427), то есть на каждый рубль выручки требуется всё больше оборотных средств. Это негативная динамика — снижение эффективности использования оборотного капитала, вызванное теми же причинами, что и снижение оборачиваемости.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12 — Коэффициент эффективности использования оборотных средств</w:t>
      </w:r>
    </w:p>
    <w:p>
      <w:r>
        <w:rPr>
          <w:rFonts w:ascii="Times New Roman" w:hAnsi="Times New Roman"/>
          <w:sz w:val="24"/>
        </w:rPr>
        <w:t>Что показывает: размер чистой прибыли, приходящейся на 1 руб. оборотных средств.</w:t>
      </w:r>
    </w:p>
    <w:p>
      <w:r>
        <w:rPr>
          <w:rFonts w:ascii="Times New Roman" w:hAnsi="Times New Roman"/>
          <w:b/>
          <w:sz w:val="24"/>
        </w:rPr>
        <w:t>Формула (Глава 2, ф. 2.11):</w:t>
      </w:r>
    </w:p>
    <w:p>
      <w:r>
        <w:rPr>
          <w:rFonts w:ascii="Times New Roman" w:hAnsi="Times New Roman"/>
          <w:sz w:val="24"/>
        </w:rPr>
        <w:t xml:space="preserve">   Кэф = ЧП / Со</w:t>
      </w:r>
    </w:p>
    <w:p>
      <w:r>
        <w:rPr>
          <w:rFonts w:ascii="Times New Roman" w:hAnsi="Times New Roman"/>
          <w:sz w:val="24"/>
        </w:rPr>
        <w:t>ЧП — чистая прибыль (Таблица 2.7); Со — среднегод. остаток оборотных средств.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ЧП = 6 520 тыс. руб.</w:t>
      </w:r>
    </w:p>
    <w:p>
      <w:r>
        <w:rPr>
          <w:rFonts w:ascii="Times New Roman" w:hAnsi="Times New Roman"/>
          <w:sz w:val="24"/>
        </w:rPr>
        <w:t xml:space="preserve">   Шаг 2: Со = 21 000 тыс. руб.</w:t>
      </w:r>
    </w:p>
    <w:p>
      <w:r>
        <w:rPr>
          <w:rFonts w:ascii="Times New Roman" w:hAnsi="Times New Roman"/>
          <w:sz w:val="24"/>
        </w:rPr>
        <w:t xml:space="preserve">   Шаг 3: Кэф = 6 520 / 21 000 = 0,310 (31,0%)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ЧП = 7 704 тыс. руб.</w:t>
      </w:r>
    </w:p>
    <w:p>
      <w:r>
        <w:rPr>
          <w:rFonts w:ascii="Times New Roman" w:hAnsi="Times New Roman"/>
          <w:sz w:val="24"/>
        </w:rPr>
        <w:t xml:space="preserve">   Шаг 2: Со = 25 000 тыс. руб.</w:t>
      </w:r>
    </w:p>
    <w:p>
      <w:r>
        <w:rPr>
          <w:rFonts w:ascii="Times New Roman" w:hAnsi="Times New Roman"/>
          <w:sz w:val="24"/>
        </w:rPr>
        <w:t xml:space="preserve">   Шаг 3: Кэф = 7 704 / 25 000 = 0,308 (30,8%)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ЧП = 9 240 тыс. руб.</w:t>
      </w:r>
    </w:p>
    <w:p>
      <w:r>
        <w:rPr>
          <w:rFonts w:ascii="Times New Roman" w:hAnsi="Times New Roman"/>
          <w:sz w:val="24"/>
        </w:rPr>
        <w:t xml:space="preserve">   Шаг 2: Со = 33 280 тыс. руб.</w:t>
      </w:r>
    </w:p>
    <w:p>
      <w:r>
        <w:rPr>
          <w:rFonts w:ascii="Times New Roman" w:hAnsi="Times New Roman"/>
          <w:sz w:val="24"/>
        </w:rPr>
        <w:t xml:space="preserve">   Шаг 3: Кэф = 9 240 / 33 280 = 0,278 (27,8%)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Тенденция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Кэф, доля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0,310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0,308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0,278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снижение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Кэф, %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31,0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30,8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27,8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снижение</w:t>
            </w:r>
          </w:p>
        </w:tc>
      </w:tr>
    </w:tbl>
    <w:p>
      <w:r>
        <w:rPr>
          <w:rFonts w:ascii="Times New Roman" w:hAnsi="Times New Roman"/>
          <w:sz w:val="24"/>
        </w:rPr>
        <w:t>Вывод: коэффициент эффективности использования оборотных средств снижается (0,310 → 0,278). Хотя чистая прибыль в абсолютном выражении растёт, оборотные средства растут быстрее, что снижает отдачу. Уровень 28–31% остаётся высоким для строительной отрасли.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13 — Производительность труда (выработка)</w:t>
      </w:r>
    </w:p>
    <w:p>
      <w:r>
        <w:rPr>
          <w:rFonts w:ascii="Times New Roman" w:hAnsi="Times New Roman"/>
          <w:sz w:val="24"/>
        </w:rPr>
        <w:t>Что показывает: объём выручки на одного работника. Главный показатель эффективности живого труда.</w:t>
      </w:r>
    </w:p>
    <w:p>
      <w:r>
        <w:rPr>
          <w:rFonts w:ascii="Times New Roman" w:hAnsi="Times New Roman"/>
          <w:b/>
          <w:sz w:val="24"/>
        </w:rPr>
        <w:t>Формула (Глава 2, ф. 2.12):</w:t>
      </w:r>
    </w:p>
    <w:p>
      <w:r>
        <w:rPr>
          <w:rFonts w:ascii="Times New Roman" w:hAnsi="Times New Roman"/>
          <w:sz w:val="24"/>
        </w:rPr>
        <w:t xml:space="preserve">   В = Q / Ч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Q = 55 000 тыс. руб.</w:t>
      </w:r>
    </w:p>
    <w:p>
      <w:r>
        <w:rPr>
          <w:rFonts w:ascii="Times New Roman" w:hAnsi="Times New Roman"/>
          <w:sz w:val="24"/>
        </w:rPr>
        <w:t xml:space="preserve">   Шаг 2: Ч = 80 чел.</w:t>
      </w:r>
    </w:p>
    <w:p>
      <w:r>
        <w:rPr>
          <w:rFonts w:ascii="Times New Roman" w:hAnsi="Times New Roman"/>
          <w:sz w:val="24"/>
        </w:rPr>
        <w:t xml:space="preserve">   Шаг 3: В = 55 000 / 80 = 688 тыс. руб./чел.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Q = 65 000 тыс. руб.</w:t>
      </w:r>
    </w:p>
    <w:p>
      <w:r>
        <w:rPr>
          <w:rFonts w:ascii="Times New Roman" w:hAnsi="Times New Roman"/>
          <w:sz w:val="24"/>
        </w:rPr>
        <w:t xml:space="preserve">   Шаг 2: Ч = 80 чел.</w:t>
      </w:r>
    </w:p>
    <w:p>
      <w:r>
        <w:rPr>
          <w:rFonts w:ascii="Times New Roman" w:hAnsi="Times New Roman"/>
          <w:sz w:val="24"/>
        </w:rPr>
        <w:t xml:space="preserve">   Шаг 3: В = 65 000 / 80 = 812 тыс. руб./чел.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Q = 78 000 тыс. руб.</w:t>
      </w:r>
    </w:p>
    <w:p>
      <w:r>
        <w:rPr>
          <w:rFonts w:ascii="Times New Roman" w:hAnsi="Times New Roman"/>
          <w:sz w:val="24"/>
        </w:rPr>
        <w:t xml:space="preserve">   Шаг 2: Ч = 80 чел.</w:t>
      </w:r>
    </w:p>
    <w:p>
      <w:r>
        <w:rPr>
          <w:rFonts w:ascii="Times New Roman" w:hAnsi="Times New Roman"/>
          <w:sz w:val="24"/>
        </w:rPr>
        <w:t xml:space="preserve">   Шаг 3: В = 78 000 / 80 = 975 тыс. руб./чел.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Выработка, тыс. руб./чел.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688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812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975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рост свыше инфляции</w:t>
            </w:r>
          </w:p>
        </w:tc>
      </w:tr>
    </w:tbl>
    <w:p>
      <w:r>
        <w:rPr>
          <w:rFonts w:ascii="Times New Roman" w:hAnsi="Times New Roman"/>
          <w:sz w:val="24"/>
        </w:rPr>
        <w:t>Вывод: выработка растёт с 687,5 до 975,0 тыс. руб./чел. (+42% за 3 года), значительно опережая инфляцию (15–20% за период). Это положительный показатель — производительность труда повышается за счёт инвестиций в технику и автоматизации части операций.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14 — Рентабельность продукции</w:t>
      </w:r>
    </w:p>
    <w:p>
      <w:r>
        <w:rPr>
          <w:rFonts w:ascii="Times New Roman" w:hAnsi="Times New Roman"/>
          <w:sz w:val="24"/>
        </w:rPr>
        <w:t>Что показывает: размер прибыли с каждого рубля текущих затрат. Эффективность производственного процесса.</w:t>
      </w:r>
    </w:p>
    <w:p>
      <w:r>
        <w:rPr>
          <w:rFonts w:ascii="Times New Roman" w:hAnsi="Times New Roman"/>
          <w:b/>
          <w:sz w:val="24"/>
        </w:rPr>
        <w:t>Формула (Глава 2, ф. 2.13):</w:t>
      </w:r>
    </w:p>
    <w:p>
      <w:r>
        <w:rPr>
          <w:rFonts w:ascii="Times New Roman" w:hAnsi="Times New Roman"/>
          <w:sz w:val="24"/>
        </w:rPr>
        <w:t xml:space="preserve">   PIp = (Pr / TC) × 100%</w:t>
      </w:r>
    </w:p>
    <w:p>
      <w:r>
        <w:rPr>
          <w:rFonts w:ascii="Times New Roman" w:hAnsi="Times New Roman"/>
          <w:sz w:val="24"/>
        </w:rPr>
        <w:t>Pr — прибыль от продаж; TC — общие затраты (себестоимость + управленческие расходы).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Pr = 8 800 тыс. руб.</w:t>
      </w:r>
    </w:p>
    <w:p>
      <w:r>
        <w:rPr>
          <w:rFonts w:ascii="Times New Roman" w:hAnsi="Times New Roman"/>
          <w:sz w:val="24"/>
        </w:rPr>
        <w:t xml:space="preserve">   Шаг 2: TC = себестоимость + управленческие = 41 250 + 4 950 = 46 200 тыс. руб.</w:t>
      </w:r>
    </w:p>
    <w:p>
      <w:r>
        <w:rPr>
          <w:rFonts w:ascii="Times New Roman" w:hAnsi="Times New Roman"/>
          <w:sz w:val="24"/>
        </w:rPr>
        <w:t xml:space="preserve">   Шаг 3: PIp = (8 800 / 46 200) × 100% = 19,0 %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Pr = 10 400 тыс. руб.</w:t>
      </w:r>
    </w:p>
    <w:p>
      <w:r>
        <w:rPr>
          <w:rFonts w:ascii="Times New Roman" w:hAnsi="Times New Roman"/>
          <w:sz w:val="24"/>
        </w:rPr>
        <w:t xml:space="preserve">   Шаг 2: TC = себестоимость + управленческие = 48 750 + 5 850 = 54 600 тыс. руб.</w:t>
      </w:r>
    </w:p>
    <w:p>
      <w:r>
        <w:rPr>
          <w:rFonts w:ascii="Times New Roman" w:hAnsi="Times New Roman"/>
          <w:sz w:val="24"/>
        </w:rPr>
        <w:t xml:space="preserve">   Шаг 3: PIp = (10 400 / 54 600) × 100% = 19,0 %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Pr = 12 480 тыс. руб.</w:t>
      </w:r>
    </w:p>
    <w:p>
      <w:r>
        <w:rPr>
          <w:rFonts w:ascii="Times New Roman" w:hAnsi="Times New Roman"/>
          <w:sz w:val="24"/>
        </w:rPr>
        <w:t xml:space="preserve">   Шаг 2: TC = себестоимость + управленческие = 58 500 + 7 020 = 65 520 тыс. руб.</w:t>
      </w:r>
    </w:p>
    <w:p>
      <w:r>
        <w:rPr>
          <w:rFonts w:ascii="Times New Roman" w:hAnsi="Times New Roman"/>
          <w:sz w:val="24"/>
        </w:rPr>
        <w:t xml:space="preserve">   Шаг 3: PIp = (12 480 / 65 520) × 100% = 19,0 %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PIp, %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19,0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19,0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19,0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10%</w:t>
            </w:r>
          </w:p>
        </w:tc>
      </w:tr>
    </w:tbl>
    <w:p>
      <w:r>
        <w:rPr>
          <w:rFonts w:ascii="Times New Roman" w:hAnsi="Times New Roman"/>
          <w:sz w:val="24"/>
        </w:rPr>
        <w:t>Вывод: рентабельность продукции стабильно держится на уровне 19,0%, что вдвое превышает норматив 10%. Это означает: каждый рубль затрат генерирует 19 копеек прибыли. Стабильность показателя говорит о хорошо отлаженной экономике подрядных работ.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15 — Рентабельность продаж</w:t>
      </w:r>
    </w:p>
    <w:p>
      <w:r>
        <w:rPr>
          <w:rFonts w:ascii="Times New Roman" w:hAnsi="Times New Roman"/>
          <w:sz w:val="24"/>
        </w:rPr>
        <w:t>Что показывает: долю прибыли в каждом рубле выручки.</w:t>
      </w:r>
    </w:p>
    <w:p>
      <w:r>
        <w:rPr>
          <w:rFonts w:ascii="Times New Roman" w:hAnsi="Times New Roman"/>
          <w:b/>
          <w:sz w:val="24"/>
        </w:rPr>
        <w:t>Формула (Глава 2, ф. 2.14):</w:t>
      </w:r>
    </w:p>
    <w:p>
      <w:r>
        <w:rPr>
          <w:rFonts w:ascii="Times New Roman" w:hAnsi="Times New Roman"/>
          <w:sz w:val="24"/>
        </w:rPr>
        <w:t xml:space="preserve">   PIs = (Pr / Q) × 100%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Pr = 8 800 тыс. руб.</w:t>
      </w:r>
    </w:p>
    <w:p>
      <w:r>
        <w:rPr>
          <w:rFonts w:ascii="Times New Roman" w:hAnsi="Times New Roman"/>
          <w:sz w:val="24"/>
        </w:rPr>
        <w:t xml:space="preserve">   Шаг 2: Q = 55 000 тыс. руб.</w:t>
      </w:r>
    </w:p>
    <w:p>
      <w:r>
        <w:rPr>
          <w:rFonts w:ascii="Times New Roman" w:hAnsi="Times New Roman"/>
          <w:sz w:val="24"/>
        </w:rPr>
        <w:t xml:space="preserve">   Шаг 3: PIs = (8 800 / 55 000) × 100% = 16,0 %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Pr = 10 400 тыс. руб.</w:t>
      </w:r>
    </w:p>
    <w:p>
      <w:r>
        <w:rPr>
          <w:rFonts w:ascii="Times New Roman" w:hAnsi="Times New Roman"/>
          <w:sz w:val="24"/>
        </w:rPr>
        <w:t xml:space="preserve">   Шаг 2: Q = 65 000 тыс. руб.</w:t>
      </w:r>
    </w:p>
    <w:p>
      <w:r>
        <w:rPr>
          <w:rFonts w:ascii="Times New Roman" w:hAnsi="Times New Roman"/>
          <w:sz w:val="24"/>
        </w:rPr>
        <w:t xml:space="preserve">   Шаг 3: PIs = (10 400 / 65 000) × 100% = 16,0 %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Pr = 12 480 тыс. руб.</w:t>
      </w:r>
    </w:p>
    <w:p>
      <w:r>
        <w:rPr>
          <w:rFonts w:ascii="Times New Roman" w:hAnsi="Times New Roman"/>
          <w:sz w:val="24"/>
        </w:rPr>
        <w:t xml:space="preserve">   Шаг 2: Q = 78 000 тыс. руб.</w:t>
      </w:r>
    </w:p>
    <w:p>
      <w:r>
        <w:rPr>
          <w:rFonts w:ascii="Times New Roman" w:hAnsi="Times New Roman"/>
          <w:sz w:val="24"/>
        </w:rPr>
        <w:t xml:space="preserve">   Шаг 3: PIs = (12 480 / 78 000) × 100% = 16,0 %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PIs, %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16,0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16,0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16,0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5–10% (стр-во)</w:t>
            </w:r>
          </w:p>
        </w:tc>
      </w:tr>
    </w:tbl>
    <w:p>
      <w:r>
        <w:rPr>
          <w:rFonts w:ascii="Times New Roman" w:hAnsi="Times New Roman"/>
          <w:sz w:val="24"/>
        </w:rPr>
        <w:t>Вывод: рентабельность продаж стабильна на уровне 16,0% — выше отраслевого норматива 5–10% для строительной отрасли. Это свидетельствует о грамотной ценовой политике и оптимальной структуре затрат. На каждый рубль выручки приходится 16 копеек прибыли от продаж.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16 — Рентабельность основных фондов (по чистой прибыли)</w:t>
      </w:r>
    </w:p>
    <w:p>
      <w:r>
        <w:rPr>
          <w:rFonts w:ascii="Times New Roman" w:hAnsi="Times New Roman"/>
          <w:sz w:val="24"/>
        </w:rPr>
        <w:t>Что показывает: размер чистой прибыли на каждую тыс. руб. среднегодовой стоимости ОФ. Полная фондорентабельность.</w:t>
      </w:r>
    </w:p>
    <w:p>
      <w:r>
        <w:rPr>
          <w:rFonts w:ascii="Times New Roman" w:hAnsi="Times New Roman"/>
          <w:b/>
          <w:sz w:val="24"/>
        </w:rPr>
        <w:t>Формула (Глава 2, ф. 2.15):</w:t>
      </w:r>
    </w:p>
    <w:p>
      <w:r>
        <w:rPr>
          <w:rFonts w:ascii="Times New Roman" w:hAnsi="Times New Roman"/>
          <w:sz w:val="24"/>
        </w:rPr>
        <w:t xml:space="preserve">   Роф = (ЧП / Соф) × 100%</w:t>
      </w:r>
    </w:p>
    <w:p>
      <w:r>
        <w:rPr>
          <w:rFonts w:ascii="Times New Roman" w:hAnsi="Times New Roman"/>
          <w:sz w:val="24"/>
        </w:rPr>
        <w:t>ЧП — чистая прибыль; Соф = ОФср — среднегод. стоимость ОФ.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ЧП = 6 520 тыс. руб.</w:t>
      </w:r>
    </w:p>
    <w:p>
      <w:r>
        <w:rPr>
          <w:rFonts w:ascii="Times New Roman" w:hAnsi="Times New Roman"/>
          <w:sz w:val="24"/>
        </w:rPr>
        <w:t xml:space="preserve">   Шаг 2: Соф (ОФср) = 13 000 тыс. руб.</w:t>
      </w:r>
    </w:p>
    <w:p>
      <w:r>
        <w:rPr>
          <w:rFonts w:ascii="Times New Roman" w:hAnsi="Times New Roman"/>
          <w:sz w:val="24"/>
        </w:rPr>
        <w:t xml:space="preserve">   Шаг 3: Роф = (6 520 / 13 000) × 100% = 50,2 %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ЧП = 7 704 тыс. руб.</w:t>
      </w:r>
    </w:p>
    <w:p>
      <w:r>
        <w:rPr>
          <w:rFonts w:ascii="Times New Roman" w:hAnsi="Times New Roman"/>
          <w:sz w:val="24"/>
        </w:rPr>
        <w:t xml:space="preserve">   Шаг 2: Соф (ОФср) = 16 000 тыс. руб.</w:t>
      </w:r>
    </w:p>
    <w:p>
      <w:r>
        <w:rPr>
          <w:rFonts w:ascii="Times New Roman" w:hAnsi="Times New Roman"/>
          <w:sz w:val="24"/>
        </w:rPr>
        <w:t xml:space="preserve">   Шаг 3: Роф = (7 704 / 16 000) × 100% = 48,1 %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ЧП = 9 240 тыс. руб.</w:t>
      </w:r>
    </w:p>
    <w:p>
      <w:r>
        <w:rPr>
          <w:rFonts w:ascii="Times New Roman" w:hAnsi="Times New Roman"/>
          <w:sz w:val="24"/>
        </w:rPr>
        <w:t xml:space="preserve">   Шаг 2: Соф (ОФср) = 20 000 тыс. руб.</w:t>
      </w:r>
    </w:p>
    <w:p>
      <w:r>
        <w:rPr>
          <w:rFonts w:ascii="Times New Roman" w:hAnsi="Times New Roman"/>
          <w:sz w:val="24"/>
        </w:rPr>
        <w:t xml:space="preserve">   Шаг 3: Роф = (9 240 / 20 000) × 100% = 46,2 %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Роф, %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50,2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48,1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46,2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15%</w:t>
            </w:r>
          </w:p>
        </w:tc>
      </w:tr>
    </w:tbl>
    <w:p>
      <w:r>
        <w:rPr>
          <w:rFonts w:ascii="Times New Roman" w:hAnsi="Times New Roman"/>
          <w:sz w:val="24"/>
        </w:rPr>
        <w:t>Вывод: рентабельность ОФ по ЧП высокая (43–50%), значительно выше норматива 15%. Снижение с 50,2% до 46,2% — за счёт активного наращивания парка ОФ при сохранении умеренных темпов роста прибыли. Тем не менее уровень более чем приемлемый.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17 — Рентабельность оборотных средств</w:t>
      </w:r>
    </w:p>
    <w:p>
      <w:r>
        <w:rPr>
          <w:rFonts w:ascii="Times New Roman" w:hAnsi="Times New Roman"/>
          <w:sz w:val="24"/>
        </w:rPr>
        <w:t>Что показывает: эффективность использования оборотного капитала (по чистой прибыли).</w:t>
      </w:r>
    </w:p>
    <w:p>
      <w:r>
        <w:rPr>
          <w:rFonts w:ascii="Times New Roman" w:hAnsi="Times New Roman"/>
          <w:b/>
          <w:sz w:val="24"/>
        </w:rPr>
        <w:t>Формула (Глава 2, ф. 2.16):</w:t>
      </w:r>
    </w:p>
    <w:p>
      <w:r>
        <w:rPr>
          <w:rFonts w:ascii="Times New Roman" w:hAnsi="Times New Roman"/>
          <w:sz w:val="24"/>
        </w:rPr>
        <w:t xml:space="preserve">   Рос = (ЧП / Сос) × 100%</w:t>
      </w:r>
    </w:p>
    <w:p>
      <w:r>
        <w:rPr>
          <w:rFonts w:ascii="Times New Roman" w:hAnsi="Times New Roman"/>
          <w:sz w:val="24"/>
        </w:rPr>
        <w:t>Сос = Со — среднегод. ст-ть оборотных средств.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ЧП = 6 520 тыс. руб.</w:t>
      </w:r>
    </w:p>
    <w:p>
      <w:r>
        <w:rPr>
          <w:rFonts w:ascii="Times New Roman" w:hAnsi="Times New Roman"/>
          <w:sz w:val="24"/>
        </w:rPr>
        <w:t xml:space="preserve">   Шаг 2: Сос = 21 000 тыс. руб.</w:t>
      </w:r>
    </w:p>
    <w:p>
      <w:r>
        <w:rPr>
          <w:rFonts w:ascii="Times New Roman" w:hAnsi="Times New Roman"/>
          <w:sz w:val="24"/>
        </w:rPr>
        <w:t xml:space="preserve">   Шаг 3: Рос = (6 520 / 21 000) × 100% = 31,0 %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ЧП = 7 704 тыс. руб.</w:t>
      </w:r>
    </w:p>
    <w:p>
      <w:r>
        <w:rPr>
          <w:rFonts w:ascii="Times New Roman" w:hAnsi="Times New Roman"/>
          <w:sz w:val="24"/>
        </w:rPr>
        <w:t xml:space="preserve">   Шаг 2: Сос = 25 000 тыс. руб.</w:t>
      </w:r>
    </w:p>
    <w:p>
      <w:r>
        <w:rPr>
          <w:rFonts w:ascii="Times New Roman" w:hAnsi="Times New Roman"/>
          <w:sz w:val="24"/>
        </w:rPr>
        <w:t xml:space="preserve">   Шаг 3: Рос = (7 704 / 25 000) × 100% = 30,8 %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ЧП = 9 240 тыс. руб.</w:t>
      </w:r>
    </w:p>
    <w:p>
      <w:r>
        <w:rPr>
          <w:rFonts w:ascii="Times New Roman" w:hAnsi="Times New Roman"/>
          <w:sz w:val="24"/>
        </w:rPr>
        <w:t xml:space="preserve">   Шаг 2: Сос = 33 280 тыс. руб.</w:t>
      </w:r>
    </w:p>
    <w:p>
      <w:r>
        <w:rPr>
          <w:rFonts w:ascii="Times New Roman" w:hAnsi="Times New Roman"/>
          <w:sz w:val="24"/>
        </w:rPr>
        <w:t xml:space="preserve">   Шаг 3: Рос = (9 240 / 33 280) × 100% = 27,8 %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Рос, %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31,0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30,8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27,8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12%</w:t>
            </w:r>
          </w:p>
        </w:tc>
      </w:tr>
    </w:tbl>
    <w:p>
      <w:r>
        <w:rPr>
          <w:rFonts w:ascii="Times New Roman" w:hAnsi="Times New Roman"/>
          <w:sz w:val="24"/>
        </w:rPr>
        <w:t>Вывод: рентабельность оборотных средств снижается (31,0% → 27,8%), но превышает норматив 12%. Снижение связано с опережающим ростом оборотных активов (особенно ДЗ). Уровень доходности оборотного капитала остаётся высоким.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ПУНКТ 18 — Рентабельность издержек обращения</w:t>
      </w:r>
    </w:p>
    <w:p>
      <w:r>
        <w:rPr>
          <w:rFonts w:ascii="Times New Roman" w:hAnsi="Times New Roman"/>
          <w:sz w:val="24"/>
        </w:rPr>
        <w:t>Что показывает: размер чистой прибыли на единицу совокупных издержек.</w:t>
      </w:r>
    </w:p>
    <w:p>
      <w:r>
        <w:rPr>
          <w:rFonts w:ascii="Times New Roman" w:hAnsi="Times New Roman"/>
          <w:b/>
          <w:sz w:val="24"/>
        </w:rPr>
        <w:t>Формула (Глава 2, ф. 2.16-bis):</w:t>
      </w:r>
    </w:p>
    <w:p>
      <w:r>
        <w:rPr>
          <w:rFonts w:ascii="Times New Roman" w:hAnsi="Times New Roman"/>
          <w:sz w:val="24"/>
        </w:rPr>
        <w:t xml:space="preserve">   Рио = ЧП / Сио</w:t>
      </w:r>
    </w:p>
    <w:p>
      <w:r>
        <w:rPr>
          <w:rFonts w:ascii="Times New Roman" w:hAnsi="Times New Roman"/>
          <w:sz w:val="24"/>
        </w:rPr>
        <w:t>Сио — совокупная сумма издержек обращения (себестоимость + управленческие).</w:t>
      </w:r>
    </w:p>
    <w:p>
      <w:r>
        <w:rPr>
          <w:rFonts w:ascii="Times New Roman" w:hAnsi="Times New Roman"/>
          <w:sz w:val="24"/>
        </w:rPr>
        <w:t>Показатель приведён к процентному виду: × 100%.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2021 год ───</w:t>
      </w:r>
    </w:p>
    <w:p>
      <w:r>
        <w:rPr>
          <w:rFonts w:ascii="Times New Roman" w:hAnsi="Times New Roman"/>
          <w:sz w:val="24"/>
        </w:rPr>
        <w:t xml:space="preserve">   Шаг 1: ЧП = 6 520 тыс. руб.</w:t>
      </w:r>
    </w:p>
    <w:p>
      <w:r>
        <w:rPr>
          <w:rFonts w:ascii="Times New Roman" w:hAnsi="Times New Roman"/>
          <w:sz w:val="24"/>
        </w:rPr>
        <w:t xml:space="preserve">   Шаг 2: Сио = 46 200 тыс. руб.</w:t>
      </w:r>
    </w:p>
    <w:p>
      <w:r>
        <w:rPr>
          <w:rFonts w:ascii="Times New Roman" w:hAnsi="Times New Roman"/>
          <w:sz w:val="24"/>
        </w:rPr>
        <w:t xml:space="preserve">   Шаг 3: Рио = (6 520 / 46 200) × 100% = 14,1 %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2022 год ───</w:t>
      </w:r>
    </w:p>
    <w:p>
      <w:r>
        <w:rPr>
          <w:rFonts w:ascii="Times New Roman" w:hAnsi="Times New Roman"/>
          <w:sz w:val="24"/>
        </w:rPr>
        <w:t xml:space="preserve">   Шаг 1: ЧП = 7 704 тыс. руб.</w:t>
      </w:r>
    </w:p>
    <w:p>
      <w:r>
        <w:rPr>
          <w:rFonts w:ascii="Times New Roman" w:hAnsi="Times New Roman"/>
          <w:sz w:val="24"/>
        </w:rPr>
        <w:t xml:space="preserve">   Шаг 2: Сио = 54 600 тыс. руб.</w:t>
      </w:r>
    </w:p>
    <w:p>
      <w:r>
        <w:rPr>
          <w:rFonts w:ascii="Times New Roman" w:hAnsi="Times New Roman"/>
          <w:sz w:val="24"/>
        </w:rPr>
        <w:t xml:space="preserve">   Шаг 3: Рио = (7 704 / 54 600) × 100% = 14,1 %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─── Расчёт за 2023 год ───</w:t>
      </w:r>
    </w:p>
    <w:p>
      <w:r>
        <w:rPr>
          <w:rFonts w:ascii="Times New Roman" w:hAnsi="Times New Roman"/>
          <w:sz w:val="24"/>
        </w:rPr>
        <w:t xml:space="preserve">   Шаг 1: ЧП = 9 240 тыс. руб.</w:t>
      </w:r>
    </w:p>
    <w:p>
      <w:r>
        <w:rPr>
          <w:rFonts w:ascii="Times New Roman" w:hAnsi="Times New Roman"/>
          <w:sz w:val="24"/>
        </w:rPr>
        <w:t xml:space="preserve">   Шаг 2: Сио = 65 520 тыс. руб.</w:t>
      </w:r>
    </w:p>
    <w:p>
      <w:r>
        <w:rPr>
          <w:rFonts w:ascii="Times New Roman" w:hAnsi="Times New Roman"/>
          <w:sz w:val="24"/>
        </w:rPr>
        <w:t xml:space="preserve">   Шаг 3: Рио = (9 240 / 65 520) × 100% = 14,1 %</w:t>
      </w:r>
    </w:p>
    <w:p>
      <w:r>
        <w:rPr>
          <w:rFonts w:ascii="Times New Roman" w:hAnsi="Times New Roman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Рио, %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14,1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14,1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14,1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2"/>
              </w:rPr>
              <w:t>≥ 5%</w:t>
            </w:r>
          </w:p>
        </w:tc>
      </w:tr>
    </w:tbl>
    <w:p>
      <w:r>
        <w:rPr>
          <w:rFonts w:ascii="Times New Roman" w:hAnsi="Times New Roman"/>
          <w:sz w:val="24"/>
        </w:rPr>
        <w:t>Вывод: рентабельность издержек стабильна на уровне 14,1%, превышая норматив 5%. На каждый рубль затрат предприятие получает 14 копеек чистой прибыли. Стабильность отражает эффективное управление издержками при росте масштабов деятельности.</w:t>
      </w:r>
    </w:p>
    <w:p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sz w:val="26"/>
        </w:rPr>
        <w:t>ОБЩИЙ ВЫВОД ПО ФИНАНСОВО-ЭКОНОМИЧЕСКОМУ СОСТОЯНИЮ</w:t>
      </w:r>
    </w:p>
    <w:p>
      <w:r>
        <w:rPr>
          <w:rFonts w:ascii="Times New Roman" w:hAnsi="Times New Roman"/>
          <w:sz w:val="24"/>
        </w:rPr>
        <w:t>По результатам анализа за 2021–2023 гг. финансовое состояние малой строительной компании ООО «ХХХ» можно оценить как УСТОЙЧИВОЕ И РАЗВИВАЮЩЕЕСЯ.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1. ПОЛОЖИТЕЛЬНЫЕ ТЕНДЕНЦИИ:</w:t>
      </w:r>
    </w:p>
    <w:p>
      <w:r>
        <w:rPr>
          <w:rFonts w:ascii="Times New Roman" w:hAnsi="Times New Roman"/>
          <w:sz w:val="24"/>
        </w:rPr>
        <w:t>• Выручка стабильно растёт на 18–20% ежегодно — с 55 000 до 78 000 тыс. руб. (+42% за период).</w:t>
      </w:r>
    </w:p>
    <w:p>
      <w:r>
        <w:rPr>
          <w:rFonts w:ascii="Times New Roman" w:hAnsi="Times New Roman"/>
          <w:sz w:val="24"/>
        </w:rPr>
        <w:t>• Чистая прибыль растёт с 6 520 до 9 240 тыс. руб. (+42%), сохраняя рентабельность на уровне 11,8–11,9% от выручки.</w:t>
      </w:r>
    </w:p>
    <w:p>
      <w:r>
        <w:rPr>
          <w:rFonts w:ascii="Times New Roman" w:hAnsi="Times New Roman"/>
          <w:sz w:val="24"/>
        </w:rPr>
        <w:t>• Производительность труда (выработка) выросла на 42% — с 687,5 до 975,0 тыс. руб./чел.</w:t>
      </w:r>
    </w:p>
    <w:p>
      <w:r>
        <w:rPr>
          <w:rFonts w:ascii="Times New Roman" w:hAnsi="Times New Roman"/>
          <w:sz w:val="24"/>
        </w:rPr>
        <w:t>• Фондовооружённость труда увеличилась на 54% — компания активно инвестирует в строительную технику.</w:t>
      </w:r>
    </w:p>
    <w:p>
      <w:r>
        <w:rPr>
          <w:rFonts w:ascii="Times New Roman" w:hAnsi="Times New Roman"/>
          <w:sz w:val="24"/>
        </w:rPr>
        <w:t>• Коэффициент обновления ОФ (0,18–0,25) кратно превышает норматив (0,10–0,15) — парк техники моложе и крупнее с каждым годом.</w:t>
      </w:r>
    </w:p>
    <w:p>
      <w:r>
        <w:rPr>
          <w:rFonts w:ascii="Times New Roman" w:hAnsi="Times New Roman"/>
          <w:sz w:val="24"/>
        </w:rPr>
        <w:t>• Балансовое тождество соблюдено за каждый год.</w:t>
      </w:r>
    </w:p>
    <w:p>
      <w:r>
        <w:rPr>
          <w:rFonts w:ascii="Times New Roman" w:hAnsi="Times New Roman"/>
          <w:sz w:val="24"/>
        </w:rPr>
        <w:t>• Рентабельность продаж стабильна на уровне 16% — выше отраслевого ориентира 5–10% для строительной отрасли.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2. НЕГАТИВНЫЕ ТЕНДЕНЦИИ:</w:t>
      </w:r>
    </w:p>
    <w:p>
      <w:r>
        <w:rPr>
          <w:rFonts w:ascii="Times New Roman" w:hAnsi="Times New Roman"/>
          <w:sz w:val="24"/>
        </w:rPr>
        <w:t>• Снижение коэффициента оборачиваемости оборотных средств (2,62 → 2,34) и рост продолжительности оборота (139 → 156 дней) — отражает удлинение цикла оплаты заказчиками, что типично для подрядных работ в строительстве.</w:t>
      </w:r>
    </w:p>
    <w:p>
      <w:r>
        <w:rPr>
          <w:rFonts w:ascii="Times New Roman" w:hAnsi="Times New Roman"/>
          <w:sz w:val="24"/>
        </w:rPr>
        <w:t>• Постепенное снижение фондоотдачи (4,23 → 3,90) — техника пока не успевает окупаться при быстром её обновлении.</w:t>
      </w:r>
    </w:p>
    <w:p>
      <w:r>
        <w:rPr>
          <w:rFonts w:ascii="Times New Roman" w:hAnsi="Times New Roman"/>
          <w:sz w:val="24"/>
        </w:rPr>
        <w:t>• Рост дебиторской задолженности (с 12 800 до 21 840 тыс. руб., +71%) опережает рост выручки — требует усиления работы с заказчиками.</w:t>
      </w:r>
    </w:p>
    <w:p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b/>
          <w:sz w:val="24"/>
        </w:rPr>
        <w:t>3. ВЫВОДЫ ДЛЯ ДИПЛОМНОЙ РАБОТЫ:</w:t>
      </w:r>
    </w:p>
    <w:p>
      <w:r>
        <w:rPr>
          <w:rFonts w:ascii="Times New Roman" w:hAnsi="Times New Roman"/>
          <w:sz w:val="24"/>
        </w:rPr>
        <w:t>Малое строительное предприятие ООО «ХХХ» с численностью 80 чел. демонстрирует уверенное развитие на строительном рынке: за анализируемый период увеличило выручку на 42%, активно обновляет парк строительной техники, сохраняет высокую рентабельность всех видов деятельности (продаж 16%, продукции 19%, ОФ 46–50%). Основные риски связаны с растущей дебиторской задолженностью и удлинением операционного цикла, что характерно для подрядных строительных работ. Рекомендуется усилить работу с заказчиками по своевременной оплате актов выполненных работ (КС-2), а также по возможности увеличить долю авансирования по госконтрактам.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